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E14E1">
      <w:pPr>
        <w:spacing w:line="580" w:lineRule="exact"/>
        <w:jc w:val="both"/>
        <w:rPr>
          <w:rFonts w:ascii="方正小标宋简体" w:hAnsi="宋体" w:eastAsia="方正小标宋简体"/>
          <w:sz w:val="44"/>
          <w:szCs w:val="44"/>
        </w:rPr>
      </w:pPr>
    </w:p>
    <w:p w14:paraId="236765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自治区机关事务管理局</w:t>
      </w:r>
    </w:p>
    <w:p w14:paraId="6ACFF0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lang w:val="en-US" w:eastAsia="zh-CN"/>
        </w:rPr>
        <w:t>2025年法治政府建设情况的报告</w:t>
      </w:r>
    </w:p>
    <w:p w14:paraId="5710C1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14:paraId="663B5D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2025年，自治区机关事务管理局（</w:t>
      </w:r>
      <w:r>
        <w:rPr>
          <w:rFonts w:hint="eastAsia" w:ascii="楷体_GB2312" w:hAnsi="楷体_GB2312" w:eastAsia="楷体_GB2312" w:cs="楷体_GB2312"/>
          <w:sz w:val="32"/>
          <w:szCs w:val="32"/>
          <w:lang w:val="en-US" w:eastAsia="zh-CN"/>
        </w:rPr>
        <w:t>以下简称机管局）</w:t>
      </w:r>
      <w:r>
        <w:rPr>
          <w:rFonts w:hint="eastAsia" w:ascii="仿宋_GB2312" w:hAnsi="仿宋_GB2312" w:eastAsia="仿宋_GB2312" w:cs="仿宋_GB2312"/>
          <w:sz w:val="32"/>
          <w:szCs w:val="32"/>
          <w:lang w:val="en-US" w:eastAsia="zh-CN"/>
        </w:rPr>
        <w:t>坚持以习近平新时代中国特色社会主义思想为指导，深入学习贯彻党的二十大和二十届三中、四中全会精神，认真学习贯彻落实习近平法治思想和习近平总书记考察宁夏重要讲话、关于机关事务工作重要指示精神，严格按照中央全面依法治国工作会议及自治区党委全面依法治区工作会议部署要求，锚定法治政府建设目标任务，将法治思维和法治方式贯穿机关事务管理、保障、服务全过程各领域，扎实推进各项工作落地见效，进一步夯实以资产管理为基础的机关事务工作高质量发展的法治基础。现将全年工作情况报告如下：</w:t>
      </w:r>
    </w:p>
    <w:p w14:paraId="5A7833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lang w:val="en-US" w:eastAsia="zh-CN"/>
        </w:rPr>
        <w:t>一、2025年法治政府建设主要做法及成效</w:t>
      </w:r>
    </w:p>
    <w:p w14:paraId="0E5649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（一）强化思想引领，把牢正确政治方向。</w:t>
      </w:r>
      <w:r>
        <w:rPr>
          <w:rFonts w:hint="eastAsia" w:ascii="仿宋_GB2312" w:hAnsi="仿宋_GB2312" w:eastAsia="仿宋_GB2312" w:cs="仿宋_GB2312"/>
          <w:sz w:val="32"/>
          <w:szCs w:val="32"/>
          <w:lang w:val="en-US" w:eastAsia="zh-CN"/>
        </w:rPr>
        <w:t>始终把党的政治建设摆在首位，以学习贯彻习近平法治思想为重点，持续夯实党员干部法治思想根基。</w:t>
      </w:r>
      <w:r>
        <w:rPr>
          <w:rFonts w:hint="eastAsia" w:ascii="仿宋_GB2312" w:hAnsi="仿宋_GB2312" w:eastAsia="仿宋_GB2312" w:cs="仿宋_GB2312"/>
          <w:b/>
          <w:bCs/>
          <w:sz w:val="32"/>
          <w:szCs w:val="32"/>
          <w:lang w:val="en-US" w:eastAsia="zh-CN"/>
        </w:rPr>
        <w:t>一是深学细悟习近平法治思想。</w:t>
      </w:r>
      <w:r>
        <w:rPr>
          <w:rFonts w:hint="eastAsia" w:ascii="仿宋_GB2312" w:hAnsi="仿宋_GB2312" w:eastAsia="仿宋_GB2312" w:cs="仿宋_GB2312"/>
          <w:sz w:val="32"/>
          <w:szCs w:val="32"/>
          <w:lang w:val="en-US" w:eastAsia="zh-CN"/>
        </w:rPr>
        <w:t>坚持把学习贯彻习近平法治思想作为首要政治任务，纳入党组理论学习中心组重点学习内容，通过领导领学、专题研学、交流互学等方式，深刻领会其重大意义、精神实质和实践要求，将贯彻落实党中央、国务院和自治区党委、政府关于法治政府建设决策部署，作为坚定拥护“两个确立”、坚决做到“两个维护”的政治标准。党组会开展习近平法治思想专题研讨，党组成员、处室负责人带头交流发言，推动理论学习入脑入心。全年组织涉及法治学习的党组会5次、党组理论学习中心组学习12次、讲党课5次。</w:t>
      </w:r>
      <w:r>
        <w:rPr>
          <w:rFonts w:hint="eastAsia" w:ascii="仿宋_GB2312" w:hAnsi="仿宋_GB2312" w:eastAsia="仿宋_GB2312" w:cs="仿宋_GB2312"/>
          <w:b/>
          <w:bCs/>
          <w:sz w:val="32"/>
          <w:szCs w:val="32"/>
          <w:lang w:val="en-US" w:eastAsia="zh-CN"/>
        </w:rPr>
        <w:t>二是强化作风纪律教育。</w:t>
      </w:r>
      <w:r>
        <w:rPr>
          <w:rFonts w:hint="eastAsia" w:ascii="仿宋_GB2312" w:hAnsi="仿宋_GB2312" w:eastAsia="仿宋_GB2312" w:cs="仿宋_GB2312"/>
          <w:sz w:val="32"/>
          <w:szCs w:val="32"/>
          <w:lang w:val="en-US" w:eastAsia="zh-CN"/>
        </w:rPr>
        <w:t>结合深入贯彻中央八项规定精神学习教育，举办专题读书班、开展研讨交流活动，组织干部职工深入学习《习近平法治思想学习纲要》、《习近平关于加强党的作风建设论述摘编》等重要文献。扎实开展“廉政警示教育周”系列活动，通过观看警示教育片、参观廉政警示教育基地、旁听职务犯罪庭审等多种形式，深化警示教育、党性教育和纪法教育。聚焦违规吃喝和违规收受礼品礼金等突出问题开展集中整治，严明纪律红线，引导全体党员干部明大德、守公德、严私德，筑牢拒腐防变的思想防线和法治底线。</w:t>
      </w:r>
    </w:p>
    <w:p w14:paraId="64821F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（二）压实工作责任，严格落实推进机制。</w:t>
      </w:r>
      <w:r>
        <w:rPr>
          <w:rFonts w:hint="eastAsia" w:ascii="仿宋_GB2312" w:hAnsi="仿宋_GB2312" w:eastAsia="仿宋_GB2312" w:cs="仿宋_GB2312"/>
          <w:sz w:val="32"/>
          <w:szCs w:val="32"/>
          <w:lang w:val="en-US" w:eastAsia="zh-CN"/>
        </w:rPr>
        <w:t>局主要负责同志充分发挥“关键少数”示范引领作用，带头尊法学法守法用法，着力构建权责清晰、运转高效、落实有力的工作格局，确保法治政府建设各项任务落地落细。</w:t>
      </w:r>
      <w:r>
        <w:rPr>
          <w:rFonts w:hint="eastAsia" w:ascii="仿宋_GB2312" w:hAnsi="仿宋_GB2312" w:eastAsia="仿宋_GB2312" w:cs="仿宋_GB2312"/>
          <w:b/>
          <w:bCs/>
          <w:sz w:val="32"/>
          <w:szCs w:val="32"/>
          <w:lang w:val="en-US" w:eastAsia="zh-CN"/>
        </w:rPr>
        <w:t>一是以身作则，严格落实第一责任人职责。</w:t>
      </w:r>
      <w:r>
        <w:rPr>
          <w:rFonts w:hint="eastAsia" w:ascii="仿宋_GB2312" w:hAnsi="仿宋_GB2312" w:eastAsia="仿宋_GB2312" w:cs="仿宋_GB2312"/>
          <w:sz w:val="32"/>
          <w:szCs w:val="32"/>
          <w:lang w:val="en-US" w:eastAsia="zh-CN"/>
        </w:rPr>
        <w:t>对法治建设重要工作亲自部署、重大问题亲自过问、重点环节亲自协调、重要任务亲自督办，将法治建设与机关事务业务工作同部署、同推进、同督促、同考核，统筹谋划2025年度法治政府建设工作，全年召开3次专题会议研究解决法治建设重点难点问题，推动形成主要领导亲自抓、分管领导具体抓、各处室（单位）协同抓的工作格局。</w:t>
      </w:r>
      <w:r>
        <w:rPr>
          <w:rFonts w:hint="eastAsia" w:ascii="仿宋_GB2312" w:hAnsi="仿宋_GB2312" w:eastAsia="仿宋_GB2312" w:cs="仿宋_GB2312"/>
          <w:b/>
          <w:bCs/>
          <w:sz w:val="32"/>
          <w:szCs w:val="32"/>
          <w:lang w:val="en-US" w:eastAsia="zh-CN"/>
        </w:rPr>
        <w:t>二是以上率下，推动党组主体责任落实。</w:t>
      </w:r>
      <w:r>
        <w:rPr>
          <w:rFonts w:hint="eastAsia" w:ascii="仿宋_GB2312" w:hAnsi="仿宋_GB2312" w:eastAsia="仿宋_GB2312" w:cs="仿宋_GB2312"/>
          <w:i w:val="0"/>
          <w:caps w:val="0"/>
          <w:color w:val="000000"/>
          <w:spacing w:val="0"/>
          <w:kern w:val="2"/>
          <w:sz w:val="32"/>
          <w:szCs w:val="32"/>
          <w:shd w:val="clear" w:color="auto" w:fill="FFFFFF"/>
          <w:lang w:val="en-US" w:eastAsia="zh" w:bidi="ar-SA"/>
        </w:rPr>
        <w:t>坚持集体领导制度，</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带头</w:t>
      </w:r>
      <w:r>
        <w:rPr>
          <w:rFonts w:hint="eastAsia" w:ascii="仿宋_GB2312" w:hAnsi="仿宋_GB2312" w:eastAsia="仿宋_GB2312" w:cs="仿宋_GB2312"/>
          <w:i w:val="0"/>
          <w:caps w:val="0"/>
          <w:color w:val="000000"/>
          <w:spacing w:val="0"/>
          <w:kern w:val="2"/>
          <w:sz w:val="32"/>
          <w:szCs w:val="32"/>
          <w:shd w:val="clear" w:color="auto" w:fill="FFFFFF"/>
          <w:lang w:val="en-US" w:eastAsia="zh" w:bidi="ar-SA"/>
        </w:rPr>
        <w:t>落实民主集中制原则</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，推动</w:t>
      </w:r>
      <w:r>
        <w:rPr>
          <w:rFonts w:hint="eastAsia" w:ascii="仿宋_GB2312" w:hAnsi="仿宋_GB2312" w:eastAsia="仿宋_GB2312" w:cs="仿宋_GB2312"/>
          <w:sz w:val="32"/>
          <w:szCs w:val="32"/>
          <w:lang w:val="en-US" w:eastAsia="zh-CN"/>
        </w:rPr>
        <w:t>局党组切实扛起法治政府建设主体责任，结合工作实际研究制定法治政府建设工作方案、年度工作计划，将会前学法作为党组会等会议的“规定动作”常抓不懈，确保法治政府建设与业务工作深度融合、协同推进。组织构建“党组领学+支部研学+全员自学”的三级联动学习体系，充分发挥基层党支部战斗堡垒作用。全年局系统开展党员大会专题学习200余次，实现领导干部学法全覆盖，推动干部职工养成尊法学法守法用法的自觉习惯，不断提升法治素养。</w:t>
      </w:r>
    </w:p>
    <w:p w14:paraId="44ADA1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（三）完善制度供给，夯实依法行政根基。</w:t>
      </w:r>
      <w:r>
        <w:rPr>
          <w:rFonts w:hint="eastAsia" w:ascii="仿宋_GB2312" w:hAnsi="仿宋_GB2312" w:eastAsia="仿宋_GB2312" w:cs="仿宋_GB2312"/>
          <w:sz w:val="32"/>
          <w:szCs w:val="32"/>
          <w:lang w:val="en-US" w:eastAsia="zh-CN"/>
        </w:rPr>
        <w:t>聚焦制度建设、标准应用、法治力量支撑等关键环节，持续补短板、强弱项，为法治政府建设打下坚实基础。</w:t>
      </w:r>
      <w:r>
        <w:rPr>
          <w:rFonts w:hint="eastAsia" w:ascii="仿宋_GB2312" w:hAnsi="仿宋_GB2312" w:eastAsia="仿宋_GB2312" w:cs="仿宋_GB2312"/>
          <w:b/>
          <w:bCs/>
          <w:sz w:val="32"/>
          <w:szCs w:val="32"/>
          <w:lang w:val="en-US" w:eastAsia="zh-CN"/>
        </w:rPr>
        <w:t>一是健全完善制度体系。</w:t>
      </w:r>
      <w:r>
        <w:rPr>
          <w:rFonts w:hint="eastAsia" w:ascii="仿宋_GB2312" w:hAnsi="仿宋_GB2312" w:eastAsia="仿宋_GB2312" w:cs="仿宋_GB2312"/>
          <w:sz w:val="32"/>
          <w:szCs w:val="32"/>
          <w:lang w:val="en-US" w:eastAsia="zh-CN"/>
        </w:rPr>
        <w:t>紧扣机关事务工作实际，结合新修订的《党政机关厉行节约反对浪费条例》，牵头起草自治区《党政机关厉行节约反对浪费实施办法》，推动“过紧日子”要求制度化、长效化。制定《宁夏回族自治区实物保障用车驾驶员管理办法（试行）》、《自治区机关事务管理局保障性租赁住房管理办法（试行）》等制度规范，进一步完善办公用房、公务用车、资产处置等重点领域管理制度。整理汇编《办公用房管理工作手册》，对资产管理制度标准开展全面清理，完成“留、废、改、立”工作，梳理优化工作流程30项，构建起内容齐全、程序严密、配套完备、运行有效的资产管理制度体系，实现各项工作有章可循、有据可依。</w:t>
      </w:r>
      <w:r>
        <w:rPr>
          <w:rFonts w:hint="eastAsia" w:ascii="仿宋_GB2312" w:hAnsi="仿宋_GB2312" w:eastAsia="仿宋_GB2312" w:cs="仿宋_GB2312"/>
          <w:b/>
          <w:bCs/>
          <w:sz w:val="32"/>
          <w:szCs w:val="32"/>
          <w:lang w:val="en-US" w:eastAsia="zh-CN"/>
        </w:rPr>
        <w:t>二是强化标准应用与规范。</w:t>
      </w:r>
      <w:r>
        <w:rPr>
          <w:rFonts w:hint="eastAsia" w:ascii="仿宋_GB2312" w:hAnsi="仿宋_GB2312" w:eastAsia="仿宋_GB2312" w:cs="仿宋_GB2312"/>
          <w:sz w:val="32"/>
          <w:szCs w:val="32"/>
          <w:lang w:val="en-US" w:eastAsia="zh-CN"/>
        </w:rPr>
        <w:t>聚焦餐饮服务、会议服务等关键领域，制定完善管理标准与服务规范，对第三方服务团队实施绩效评价与常态化监督检查，提升服务保障规范化水平。按照自治区市场监管厅要求，对备案有效的19项机关事务地方标准开展全面清理，通过“废、改、并”等方式优化标准体系，使地方标准更贴合工作实际、更具科学性和可操作性，推动机关事务工作标准化与法治化深度融合。</w:t>
      </w:r>
      <w:r>
        <w:rPr>
          <w:rFonts w:hint="eastAsia" w:ascii="仿宋_GB2312" w:hAnsi="仿宋_GB2312" w:eastAsia="仿宋_GB2312" w:cs="仿宋_GB2312"/>
          <w:b/>
          <w:bCs/>
          <w:sz w:val="32"/>
          <w:szCs w:val="32"/>
          <w:lang w:val="en-US" w:eastAsia="zh-CN"/>
        </w:rPr>
        <w:t>三是充实法治工作力量。</w:t>
      </w:r>
      <w:r>
        <w:rPr>
          <w:rFonts w:hint="eastAsia" w:ascii="仿宋_GB2312" w:hAnsi="仿宋_GB2312" w:eastAsia="仿宋_GB2312" w:cs="仿宋_GB2312"/>
          <w:sz w:val="32"/>
          <w:szCs w:val="32"/>
          <w:lang w:val="en-US" w:eastAsia="zh-CN"/>
        </w:rPr>
        <w:t>择优选择实力强、经验丰富的律师事务所作为法律顾问单位，充分发挥法律顾问在重大决策论证、规范性文件审核、涉法涉诉案件办理等工作中的专业作用，全年共出具合法合规审核意见100余份，有效防范化解法律风险。</w:t>
      </w:r>
    </w:p>
    <w:p w14:paraId="190AD5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（四）严格依法履职，提升机关事务法治效能。</w:t>
      </w:r>
      <w:r>
        <w:rPr>
          <w:rFonts w:hint="eastAsia" w:ascii="仿宋_GB2312" w:hAnsi="仿宋_GB2312" w:eastAsia="仿宋_GB2312" w:cs="仿宋_GB2312"/>
          <w:sz w:val="32"/>
          <w:szCs w:val="32"/>
          <w:lang w:val="en-US" w:eastAsia="zh-CN"/>
        </w:rPr>
        <w:t>严格遵循法定权限和程序履行职责，持续规范权力运行，不断提升机关事务工作法治化、规范化水平。</w:t>
      </w:r>
      <w:r>
        <w:rPr>
          <w:rFonts w:hint="eastAsia" w:ascii="仿宋_GB2312" w:hAnsi="仿宋_GB2312" w:eastAsia="仿宋_GB2312" w:cs="仿宋_GB2312"/>
          <w:b/>
          <w:bCs/>
          <w:sz w:val="32"/>
          <w:szCs w:val="32"/>
          <w:lang w:val="en-US" w:eastAsia="zh-CN"/>
        </w:rPr>
        <w:t>一是规范重大决策程序。</w:t>
      </w:r>
      <w:r>
        <w:rPr>
          <w:rFonts w:hint="eastAsia" w:ascii="仿宋_GB2312" w:hAnsi="仿宋_GB2312" w:eastAsia="仿宋_GB2312" w:cs="仿宋_GB2312"/>
          <w:sz w:val="32"/>
          <w:szCs w:val="32"/>
          <w:lang w:val="en-US" w:eastAsia="zh-CN"/>
        </w:rPr>
        <w:t>认真落实民主集中制，组织修订局党组、局务会和专题会议事规则，明确重大决策的范围、程序和责任。在重大事项决策过程中，严格执行法定程序，邀请法律顾问列席会议、提供专业意见，坚持科学决策、民主决策、依法决策，不断提高决策质量和水平。</w:t>
      </w:r>
      <w:r>
        <w:rPr>
          <w:rFonts w:hint="eastAsia" w:ascii="仿宋_GB2312" w:hAnsi="仿宋_GB2312" w:eastAsia="仿宋_GB2312" w:cs="仿宋_GB2312"/>
          <w:b/>
          <w:bCs/>
          <w:sz w:val="32"/>
          <w:szCs w:val="32"/>
          <w:lang w:val="en-US" w:eastAsia="zh-CN"/>
        </w:rPr>
        <w:t>二是深化体制机制改革。</w:t>
      </w:r>
      <w:r>
        <w:rPr>
          <w:rFonts w:hint="eastAsia" w:ascii="仿宋_GB2312" w:hAnsi="仿宋_GB2312" w:eastAsia="仿宋_GB2312" w:cs="仿宋_GB2312"/>
          <w:b w:val="0"/>
          <w:bCs w:val="0"/>
          <w:sz w:val="32"/>
          <w:szCs w:val="32"/>
          <w:lang w:val="en-US" w:eastAsia="zh-CN"/>
        </w:rPr>
        <w:t>依据《机关事务管理条例》、《行政事业性国有资产管理条例》等，深入组织学习调研，</w:t>
      </w:r>
      <w:r>
        <w:rPr>
          <w:rFonts w:hint="eastAsia" w:ascii="仿宋_GB2312" w:hAnsi="仿宋_GB2312" w:eastAsia="仿宋_GB2312" w:cs="仿宋_GB2312"/>
          <w:sz w:val="32"/>
          <w:szCs w:val="32"/>
          <w:lang w:val="en-US" w:eastAsia="zh-CN"/>
        </w:rPr>
        <w:t>结合宁夏机关事务工作实际，</w:t>
      </w:r>
      <w:r>
        <w:rPr>
          <w:rFonts w:hint="eastAsia" w:ascii="仿宋_GB2312" w:hAnsi="仿宋_GB2312" w:eastAsia="仿宋_GB2312" w:cs="仿宋_GB2312"/>
          <w:b w:val="0"/>
          <w:bCs w:val="0"/>
          <w:sz w:val="32"/>
          <w:szCs w:val="32"/>
          <w:lang w:val="en-US" w:eastAsia="zh-CN"/>
        </w:rPr>
        <w:t>形成关于推进全区行政事业性国有资产集中统一管理的专报，</w:t>
      </w:r>
      <w:r>
        <w:rPr>
          <w:rFonts w:hint="eastAsia" w:ascii="仿宋_GB2312" w:hAnsi="仿宋_GB2312" w:eastAsia="仿宋_GB2312" w:cs="仿宋_GB2312"/>
          <w:b w:val="0"/>
          <w:bCs w:val="0"/>
          <w:sz w:val="32"/>
          <w:szCs w:val="32"/>
          <w:lang w:val="en-US" w:eastAsia="zh"/>
        </w:rPr>
        <w:t>已被自治区党委、政府采纳，深化改革、优化职能调整事宜正在研究推进。</w:t>
      </w:r>
      <w:r>
        <w:rPr>
          <w:rFonts w:hint="eastAsia" w:ascii="仿宋_GB2312" w:hAnsi="仿宋_GB2312" w:eastAsia="仿宋_GB2312" w:cs="仿宋_GB2312"/>
          <w:b/>
          <w:bCs/>
          <w:sz w:val="32"/>
          <w:szCs w:val="32"/>
          <w:lang w:val="en-US" w:eastAsia="zh-CN"/>
        </w:rPr>
        <w:t>三是依法依规管理。</w:t>
      </w:r>
      <w:r>
        <w:rPr>
          <w:rFonts w:hint="eastAsia" w:ascii="仿宋_GB2312" w:hAnsi="仿宋_GB2312" w:eastAsia="仿宋_GB2312" w:cs="仿宋_GB2312"/>
          <w:sz w:val="32"/>
          <w:szCs w:val="32"/>
          <w:lang w:val="en-US" w:eastAsia="zh-CN"/>
        </w:rPr>
        <w:t>严格依据《党政机关办公用房管理办法》、《行政事业性国有资产管理条例》等法律法规，规范开展党政机关办公用房维修审核工作，从严管控财政资金使用，确保资金使用合规高效。规范国有资产购置、使用、出租、出借及处置等全流程管理，优化资源配置，最大限度发挥国有资产效益。加强公共机构能耗数据会审、节约型机关建设等工作，扎实推进绿色低碳转型，以法治化手段推动机关事务绿色发展。</w:t>
      </w:r>
      <w:r>
        <w:rPr>
          <w:rFonts w:hint="eastAsia" w:ascii="仿宋_GB2312" w:hAnsi="仿宋_GB2312" w:eastAsia="仿宋_GB2312" w:cs="仿宋_GB2312"/>
          <w:b/>
          <w:bCs/>
          <w:sz w:val="32"/>
          <w:szCs w:val="32"/>
          <w:lang w:val="en-US" w:eastAsia="zh-CN"/>
        </w:rPr>
        <w:t>四是全力化解历史遗留问题。</w:t>
      </w:r>
      <w:r>
        <w:rPr>
          <w:rFonts w:hint="eastAsia" w:ascii="仿宋_GB2312" w:hAnsi="仿宋_GB2312" w:eastAsia="仿宋_GB2312" w:cs="仿宋_GB2312"/>
          <w:sz w:val="32"/>
          <w:szCs w:val="32"/>
          <w:lang w:val="en-US" w:eastAsia="zh-CN"/>
        </w:rPr>
        <w:t>建立健全会商机制，扎实推进巡视、审计反馈问题及涉法涉诉问题整改工作，定期召开专题会议研究推进措施，实行“一案一策”精准发力，有力推动唐堤慧苑、九洲国际等涉法涉诉案件和历史遗留问题化解。通过查阅历史资料、走访原经办人员、耐心沟通解释等方式，合法合规办理唐堤慧苑、政兴苑房产资产信访案件，妥善回应群众诉求，维护社会和谐稳定。</w:t>
      </w:r>
      <w:r>
        <w:rPr>
          <w:rFonts w:hint="eastAsia" w:ascii="仿宋_GB2312" w:hAnsi="仿宋_GB2312" w:eastAsia="仿宋_GB2312" w:cs="仿宋_GB2312"/>
          <w:b/>
          <w:bCs/>
          <w:sz w:val="32"/>
          <w:szCs w:val="32"/>
          <w:lang w:val="en-US" w:eastAsia="zh-CN"/>
        </w:rPr>
        <w:t>五是强化合法合规审查。</w:t>
      </w:r>
      <w:r>
        <w:rPr>
          <w:rFonts w:hint="eastAsia" w:ascii="仿宋_GB2312" w:hAnsi="仿宋_GB2312" w:eastAsia="仿宋_GB2312" w:cs="仿宋_GB2312"/>
          <w:sz w:val="32"/>
          <w:szCs w:val="32"/>
          <w:lang w:val="en-US" w:eastAsia="zh-CN"/>
        </w:rPr>
        <w:t>健全完善合同、规范性文件、建设项目合法合规性审查备案机制，明确审查标准、流程和责任，2025年共审查各类合同、项目及规范性文件200余件，做到应审尽审、防患未然。</w:t>
      </w:r>
      <w:r>
        <w:rPr>
          <w:rFonts w:hint="eastAsia" w:ascii="宋体" w:hAnsi="宋体" w:eastAsia="仿宋_GB2312" w:cs="仿宋_GB2312"/>
          <w:b/>
          <w:bCs/>
          <w:spacing w:val="0"/>
          <w:sz w:val="32"/>
          <w:szCs w:val="32"/>
          <w:lang w:val="en-US" w:eastAsia="zh-CN"/>
        </w:rPr>
        <w:t>六</w:t>
      </w:r>
      <w:r>
        <w:rPr>
          <w:rFonts w:hint="eastAsia" w:ascii="宋体" w:hAnsi="宋体" w:eastAsia="仿宋_GB2312" w:cs="仿宋_GB2312"/>
          <w:b/>
          <w:bCs/>
          <w:spacing w:val="0"/>
          <w:sz w:val="32"/>
          <w:szCs w:val="32"/>
        </w:rPr>
        <w:t>是</w:t>
      </w:r>
      <w:r>
        <w:rPr>
          <w:rFonts w:hint="eastAsia" w:ascii="宋体" w:hAnsi="宋体" w:eastAsia="仿宋_GB2312" w:cs="仿宋_GB2312"/>
          <w:b/>
          <w:bCs/>
          <w:spacing w:val="0"/>
          <w:sz w:val="32"/>
          <w:szCs w:val="32"/>
          <w:lang w:eastAsia="zh-CN"/>
        </w:rPr>
        <w:t>强化</w:t>
      </w:r>
      <w:r>
        <w:rPr>
          <w:rFonts w:hint="eastAsia" w:ascii="宋体" w:hAnsi="宋体" w:eastAsia="仿宋_GB2312" w:cs="仿宋_GB2312"/>
          <w:b/>
          <w:bCs/>
          <w:spacing w:val="0"/>
          <w:sz w:val="32"/>
          <w:szCs w:val="32"/>
        </w:rPr>
        <w:t>制度执行</w:t>
      </w:r>
      <w:r>
        <w:rPr>
          <w:rFonts w:hint="eastAsia" w:ascii="宋体" w:hAnsi="宋体" w:eastAsia="仿宋_GB2312" w:cs="仿宋_GB2312"/>
          <w:b/>
          <w:bCs/>
          <w:spacing w:val="0"/>
          <w:sz w:val="32"/>
          <w:szCs w:val="32"/>
          <w:lang w:eastAsia="zh-CN"/>
        </w:rPr>
        <w:t>监督</w:t>
      </w:r>
      <w:r>
        <w:rPr>
          <w:rFonts w:hint="eastAsia" w:ascii="宋体" w:hAnsi="宋体" w:eastAsia="仿宋_GB2312" w:cs="仿宋_GB2312"/>
          <w:b/>
          <w:bCs/>
          <w:spacing w:val="0"/>
          <w:sz w:val="32"/>
          <w:szCs w:val="32"/>
        </w:rPr>
        <w:t>检查。</w:t>
      </w:r>
      <w:r>
        <w:rPr>
          <w:rFonts w:hint="eastAsia" w:ascii="宋体" w:hAnsi="宋体" w:eastAsia="仿宋_GB2312" w:cs="仿宋_GB2312"/>
          <w:spacing w:val="0"/>
          <w:sz w:val="32"/>
          <w:szCs w:val="32"/>
          <w:lang w:val="en-US" w:eastAsia="zh-CN"/>
        </w:rPr>
        <w:t>定期对办公用房使用、公共机构节约能源资源等工作开展督查检查，确保制度规定落实到位。</w:t>
      </w:r>
    </w:p>
    <w:p w14:paraId="367072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（五）深化普法宣传，增强</w:t>
      </w:r>
      <w:r>
        <w:rPr>
          <w:rFonts w:hint="default" w:ascii="楷体_GB2312" w:hAnsi="楷体_GB2312" w:eastAsia="楷体_GB2312" w:cs="楷体_GB2312"/>
          <w:sz w:val="32"/>
          <w:szCs w:val="32"/>
          <w:lang w:val="en-US" w:eastAsia="zh-CN"/>
        </w:rPr>
        <w:t>法治思维和法治意识</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坚持普法宣传与业务工作深度融合，创新宣传方式、丰富宣传载体，持续提升干部职工法治意识和法治素养，营造尊法学法守法用法的浓厚氛围。</w:t>
      </w:r>
      <w:r>
        <w:rPr>
          <w:rFonts w:hint="eastAsia" w:ascii="仿宋_GB2312" w:hAnsi="仿宋_GB2312" w:eastAsia="仿宋_GB2312" w:cs="仿宋_GB2312"/>
          <w:b/>
          <w:bCs/>
          <w:sz w:val="32"/>
          <w:szCs w:val="32"/>
          <w:lang w:val="en-US" w:eastAsia="zh-CN"/>
        </w:rPr>
        <w:t>一是聚焦重要节点开展精准宣传。</w:t>
      </w:r>
      <w:r>
        <w:rPr>
          <w:rFonts w:hint="eastAsia" w:ascii="仿宋_GB2312" w:hAnsi="仿宋_GB2312" w:eastAsia="仿宋_GB2312" w:cs="仿宋_GB2312"/>
          <w:sz w:val="32"/>
          <w:szCs w:val="32"/>
          <w:lang w:val="en-US" w:eastAsia="zh-CN"/>
        </w:rPr>
        <w:t>牢牢把握“12·4”国家宪法日、“民法典宣传月”、国家安全日等重要时间节点，组织多部门联合开展形式多样的法治宣传活动。“12·4”国家宪法日期间，邀请自治区党委法规处专家开展党内法规专题培训；“民法典宣传月”期间，围绕合同编开展法治讲座，有效降低合同签订过程中的法律风险；结合国家安全及保密工作要求，开展保密法律法规教育培训，筑牢安全保密法治防线。此外，结合节能宣传周等活动开展法治宣传6次，参与人员达3000余人次，实现普法宣传精准滴灌。</w:t>
      </w:r>
      <w:r>
        <w:rPr>
          <w:rFonts w:hint="eastAsia" w:ascii="仿宋_GB2312" w:hAnsi="仿宋_GB2312" w:eastAsia="仿宋_GB2312" w:cs="仿宋_GB2312"/>
          <w:b/>
          <w:bCs/>
          <w:sz w:val="32"/>
          <w:szCs w:val="32"/>
          <w:lang w:val="en-US" w:eastAsia="zh-CN"/>
        </w:rPr>
        <w:t>二是丰富宣传载体拓宽覆盖范围。</w:t>
      </w:r>
      <w:r>
        <w:rPr>
          <w:rFonts w:hint="eastAsia" w:ascii="仿宋_GB2312" w:hAnsi="仿宋_GB2312" w:eastAsia="仿宋_GB2312" w:cs="仿宋_GB2312"/>
          <w:sz w:val="32"/>
          <w:szCs w:val="32"/>
          <w:lang w:val="en-US" w:eastAsia="zh-CN"/>
        </w:rPr>
        <w:t>充分利用局门户网站、微信公众号、《宁夏机关事务》杂志等线上线下宣传载体，开设法治宣传专栏，定期推送法律法规解读、典型案例分析等内容，打造全方位、立体化的普法宣传矩阵，推动法治宣传走深走实，不断提升干部职工学法守法意识。</w:t>
      </w:r>
      <w:r>
        <w:rPr>
          <w:rFonts w:hint="eastAsia" w:ascii="仿宋_GB2312" w:hAnsi="仿宋_GB2312" w:eastAsia="仿宋_GB2312" w:cs="仿宋_GB2312"/>
          <w:b/>
          <w:bCs/>
          <w:sz w:val="32"/>
          <w:szCs w:val="32"/>
          <w:lang w:val="en-US" w:eastAsia="zh-CN"/>
        </w:rPr>
        <w:t>三是强化法治培训提升履职能力。</w:t>
      </w:r>
      <w:r>
        <w:rPr>
          <w:rFonts w:hint="eastAsia" w:ascii="仿宋_GB2312" w:hAnsi="仿宋_GB2312" w:eastAsia="仿宋_GB2312" w:cs="仿宋_GB2312"/>
          <w:b w:val="0"/>
          <w:bCs w:val="0"/>
          <w:sz w:val="32"/>
          <w:szCs w:val="32"/>
          <w:lang w:val="en-US" w:eastAsia="zh-CN"/>
        </w:rPr>
        <w:t>结合自治区党委办公厅、人民政府办公厅印发的《领导干部应知应会党内法规和国家法律清单》等3个清单，组织制定《自治区机关事务管理局领导干部应知应会党内法规和法律法规清单》，全面提升领导干部法治思维水平和依法管理、依法办事能力。</w:t>
      </w:r>
      <w:r>
        <w:rPr>
          <w:rFonts w:hint="eastAsia" w:ascii="仿宋_GB2312" w:hAnsi="仿宋_GB2312" w:eastAsia="仿宋_GB2312" w:cs="仿宋_GB2312"/>
          <w:sz w:val="32"/>
          <w:szCs w:val="32"/>
          <w:lang w:val="en-US" w:eastAsia="zh-CN"/>
        </w:rPr>
        <w:t>围绕《机关事务管理条例》、《行政事业性国有资产管理条例》、《公共机构节能条例》等法律法规，开展专题法治培训8场次，参训人员达700余人次，通过案例教学、现场答疑等方式，切实提升机关事务系统干部职工运用法治思维和法治方式解决实际问题的能力水平。认真落实“八五”普法总结自查工作，在日常检查中未发现问题。</w:t>
      </w:r>
    </w:p>
    <w:p w14:paraId="363C23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lang w:val="en-US" w:eastAsia="zh-CN"/>
        </w:rPr>
        <w:t>二、存在问题和不足</w:t>
      </w:r>
    </w:p>
    <w:p w14:paraId="1C7ECF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spacing w:val="0"/>
          <w:sz w:val="32"/>
          <w:szCs w:val="32"/>
          <w:lang w:val="en-US" w:eastAsia="zh-CN"/>
        </w:rPr>
      </w:pPr>
      <w:r>
        <w:rPr>
          <w:rFonts w:hint="eastAsia" w:ascii="宋体" w:hAnsi="宋体" w:eastAsia="仿宋_GB2312" w:cs="仿宋_GB2312"/>
          <w:spacing w:val="0"/>
          <w:sz w:val="32"/>
          <w:szCs w:val="32"/>
          <w:lang w:val="en-US" w:eastAsia="zh-CN"/>
        </w:rPr>
        <w:t>2025年，机管局法治政府建设工作取得一定成效，但也存在一些问题和不足，主要表现在：</w:t>
      </w:r>
      <w:r>
        <w:rPr>
          <w:rFonts w:hint="eastAsia" w:ascii="宋体" w:hAnsi="宋体" w:eastAsia="仿宋_GB2312" w:cs="仿宋_GB2312"/>
          <w:b/>
          <w:bCs/>
          <w:spacing w:val="0"/>
          <w:sz w:val="32"/>
          <w:szCs w:val="32"/>
          <w:lang w:val="en-US" w:eastAsia="zh-CN"/>
        </w:rPr>
        <w:t>一是</w:t>
      </w:r>
      <w:r>
        <w:rPr>
          <w:rFonts w:hint="eastAsia" w:ascii="宋体" w:hAnsi="宋体" w:eastAsia="仿宋_GB2312" w:cs="仿宋_GB2312"/>
          <w:spacing w:val="0"/>
          <w:sz w:val="32"/>
          <w:szCs w:val="32"/>
          <w:lang w:val="en-US" w:eastAsia="zh-CN"/>
        </w:rPr>
        <w:t>法规制度体系建设还需要进一步加强。机关事务法规制度体系与实现国家治理体系和治理能力现代化的目标还有差距，机关运行保障资源统筹、绩效评价监督等方面还存在制度短板。</w:t>
      </w:r>
      <w:r>
        <w:rPr>
          <w:rFonts w:hint="eastAsia" w:ascii="宋体" w:hAnsi="宋体" w:eastAsia="仿宋_GB2312" w:cs="仿宋_GB2312"/>
          <w:b/>
          <w:bCs/>
          <w:spacing w:val="0"/>
          <w:sz w:val="32"/>
          <w:szCs w:val="32"/>
          <w:lang w:val="en-US" w:eastAsia="zh-CN"/>
        </w:rPr>
        <w:t>二是</w:t>
      </w:r>
      <w:r>
        <w:rPr>
          <w:rFonts w:hint="eastAsia" w:ascii="宋体" w:hAnsi="宋体" w:eastAsia="仿宋_GB2312" w:cs="仿宋_GB2312"/>
          <w:spacing w:val="0"/>
          <w:sz w:val="32"/>
          <w:szCs w:val="32"/>
          <w:lang w:val="en-US" w:eastAsia="zh-CN"/>
        </w:rPr>
        <w:t>依法管理能力还需提升。少数干部职工的法治思维树立还不够牢固，运用法治方式深化改革、推动发展、应对风险的能力水平还不高。</w:t>
      </w:r>
    </w:p>
    <w:p w14:paraId="315369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三、下一步工作打算</w:t>
      </w:r>
    </w:p>
    <w:p w14:paraId="0AC628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机管局将继续坚持以习近平新时代中国特色社会主义思想为指导，深入学习贯彻习近平法治思想，全面落实中央和自治区关于法治政府建设的各项决策部署，立足机关事务工作实际，聚焦短板弱项、强化精准发力，持续推进法治政府建设提质增效。重点抓好以下工作：</w:t>
      </w:r>
    </w:p>
    <w:p w14:paraId="41D042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（一）深学笃行习近平法治思想，打牢法治思想根基。</w:t>
      </w:r>
      <w:r>
        <w:rPr>
          <w:rFonts w:hint="eastAsia" w:ascii="仿宋_GB2312" w:hAnsi="仿宋_GB2312" w:eastAsia="仿宋_GB2312" w:cs="仿宋_GB2312"/>
          <w:sz w:val="32"/>
          <w:szCs w:val="32"/>
          <w:lang w:val="en-US" w:eastAsia="zh-CN"/>
        </w:rPr>
        <w:t>将深入学习贯彻习近平法治思想作为局党组理论学习中心组年度学习计划的重要内容，构建常态化学习机制，定期开展专题式、研讨式学习活动。通过邀请专家授课、组织案例研讨、开展交流分享等多种形式，确保学习入脑入心，切实将习近平法治思想转化为推动法治政府建设的强大动力，转化为坚定拥护“两个确立”、坚决做到“两个维护”的实际行动，持续提升领导干部运用法治方式推动发展、化解矛盾、服务群众的能力。</w:t>
      </w:r>
    </w:p>
    <w:p w14:paraId="47FA00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（二）强化高位统筹，谋划法治建设全局。</w:t>
      </w:r>
      <w:r>
        <w:rPr>
          <w:rFonts w:hint="eastAsia" w:ascii="仿宋_GB2312" w:hAnsi="仿宋_GB2312" w:eastAsia="仿宋_GB2312" w:cs="仿宋_GB2312"/>
          <w:sz w:val="32"/>
          <w:szCs w:val="32"/>
          <w:lang w:val="en-US" w:eastAsia="zh-CN"/>
        </w:rPr>
        <w:t>把法治政府建设纳入机关事务工作整体布局中谋划推进，将法治政府建设与编制宁夏机关事务工作“十五五”规划紧密结合，同部署、同落实、同推进。全面落实领导干部学法常态化机制，健全完善学法用法考核评价体系，推动法治思维和法治理念贯穿机关事务工作全过程各方面，切实提升法治建设的系统性、整体性和协同性。</w:t>
      </w:r>
    </w:p>
    <w:p w14:paraId="26A7CD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（三）健全制度体系，夯实法治建设基础。</w:t>
      </w:r>
      <w:r>
        <w:rPr>
          <w:rFonts w:hint="eastAsia" w:ascii="仿宋_GB2312" w:hAnsi="仿宋_GB2312" w:eastAsia="仿宋_GB2312" w:cs="仿宋_GB2312"/>
          <w:kern w:val="2"/>
          <w:sz w:val="32"/>
          <w:szCs w:val="32"/>
          <w:lang w:val="en-US" w:eastAsia="zh-CN" w:bidi="ar-SA"/>
        </w:rPr>
        <w:t>聚焦制度短板弱项，结合职能优化调整情况，研究制定《2026年及“十五五”期间机关事务规章制度和标准制订修订废止计划》，制订事业单位办公用房、机关用地、保障性住房等重点领域管理制度，进一步完善资产、服务、经费管理等配套制度体系。开展全区机关事务标准化工作情况调查摸底工作，落实标准动态制订修订机制，</w:t>
      </w:r>
      <w:r>
        <w:rPr>
          <w:rFonts w:hint="eastAsia" w:ascii="宋体" w:hAnsi="宋体" w:eastAsia="仿宋_GB2312" w:cs="仿宋_GB2312"/>
          <w:spacing w:val="0"/>
          <w:sz w:val="32"/>
          <w:szCs w:val="32"/>
          <w:lang w:val="en-US" w:eastAsia="zh-CN"/>
        </w:rPr>
        <w:t>加快标准修订完善。推进标准实施，健全标准执行评测制度，聚焦标准实施成效开展使用评估，强化结果应用，将评测结论与优化改进紧密结合，持续提升法治化、标准化建设及实施质效。</w:t>
      </w:r>
    </w:p>
    <w:p w14:paraId="62AD20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（四）规范权力运行，提升依法履职效能。</w:t>
      </w:r>
      <w:r>
        <w:rPr>
          <w:rFonts w:hint="eastAsia" w:ascii="仿宋_GB2312" w:hAnsi="仿宋_GB2312" w:eastAsia="仿宋_GB2312" w:cs="仿宋_GB2312"/>
          <w:sz w:val="32"/>
          <w:szCs w:val="32"/>
          <w:lang w:val="en-US" w:eastAsia="zh-CN"/>
        </w:rPr>
        <w:t>进一步强化会前学法制度，针对办公用房管理、公务用车保障、国有资产处置等关键岗位开展定制化培训，切实提升干部职工依法履职能力。严格规范权力运行，完善重大决策合法合规性审查、合同审核、政务公开等工作机制，充分发挥法律顾问和公职律师作用，有效防范化解各类法律风险。深化法治化实践应用，将法治思维和法治方式贯穿办公用房、公务用车、节能管理、后勤服务等工作全流程，以制度刚性保障机关事务工作规范高效运行。</w:t>
      </w:r>
    </w:p>
    <w:p w14:paraId="24B19C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（五）深化普法宣传，锻造法治过硬干部队伍。</w:t>
      </w:r>
      <w:r>
        <w:rPr>
          <w:rFonts w:hint="eastAsia" w:ascii="仿宋_GB2312" w:hAnsi="仿宋_GB2312" w:eastAsia="仿宋_GB2312" w:cs="仿宋_GB2312"/>
          <w:sz w:val="32"/>
          <w:szCs w:val="32"/>
          <w:lang w:val="en-US" w:eastAsia="zh-CN"/>
        </w:rPr>
        <w:t>以学习宣传《机关事务管理条例》、《党政机关厉行节约反对浪费条例》等法律法规为重点，落实领导干部带头学法、干部职工常态化学法机制，推动普法宣传与业务工作深度融合。创新普法宣传方式，坚持线上线下相结合，充分利用门户网站、微信公众号、内部刊物等宣传载体，开展形式多样、内容丰富的法治宣传活动，扩大普法覆盖面和影响力。组织开展“政策法规学习年”活动，通过专题培训、知识竞赛、案例研讨等形式，打造尊法学法守法用法的机关事务干部队伍，不断提升干部职工法治思维和法治能力，推动机关事务工作法治化、规范化水平持续提升。</w:t>
      </w:r>
    </w:p>
    <w:p w14:paraId="732B097D">
      <w:pPr>
        <w:pStyle w:val="2"/>
        <w:rPr>
          <w:rFonts w:hint="eastAsia" w:ascii="仿宋_GB2312" w:hAnsi="仿宋_GB2312" w:eastAsia="仿宋_GB2312" w:cs="仿宋_GB2312"/>
          <w:sz w:val="32"/>
          <w:szCs w:val="32"/>
          <w:lang w:val="en-US" w:eastAsia="zh-CN"/>
        </w:rPr>
      </w:pPr>
    </w:p>
    <w:p w14:paraId="208D2A84">
      <w:pPr>
        <w:pStyle w:val="3"/>
        <w:rPr>
          <w:rFonts w:hint="eastAsia" w:ascii="仿宋_GB2312" w:hAnsi="仿宋_GB2312" w:eastAsia="仿宋_GB2312" w:cs="仿宋_GB2312"/>
          <w:sz w:val="32"/>
          <w:szCs w:val="32"/>
          <w:lang w:val="en-US" w:eastAsia="zh-CN"/>
        </w:rPr>
      </w:pPr>
    </w:p>
    <w:p w14:paraId="44E77855">
      <w:pPr>
        <w:pStyle w:val="4"/>
        <w:numPr>
          <w:numId w:val="0"/>
        </w:numPr>
        <w:ind w:leftChars="200"/>
        <w:rPr>
          <w:rFonts w:hint="default"/>
          <w:lang w:val="en-US" w:eastAsia="zh-CN"/>
        </w:rPr>
      </w:pPr>
    </w:p>
    <w:p w14:paraId="2605A6BF">
      <w:pPr>
        <w:keepNext w:val="0"/>
        <w:keepLines w:val="0"/>
        <w:pageBreakBefore w:val="0"/>
        <w:widowControl w:val="0"/>
        <w:suppressAutoHyphens/>
        <w:kinsoku/>
        <w:wordWrap w:val="0"/>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自治区机关事务管理局</w:t>
      </w:r>
    </w:p>
    <w:p w14:paraId="624B7C63">
      <w:pPr>
        <w:keepNext w:val="0"/>
        <w:keepLines w:val="0"/>
        <w:pageBreakBefore w:val="0"/>
        <w:widowControl w:val="0"/>
        <w:suppressAutoHyphens/>
        <w:kinsoku/>
        <w:wordWrap w:val="0"/>
        <w:overflowPunct/>
        <w:topLinePunct w:val="0"/>
        <w:autoSpaceDE/>
        <w:autoSpaceDN/>
        <w:bidi w:val="0"/>
        <w:adjustRightInd/>
        <w:snapToGrid/>
        <w:spacing w:line="540" w:lineRule="exact"/>
        <w:ind w:firstLine="5120" w:firstLineChars="1600"/>
        <w:jc w:val="righ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rPr>
        <w:t>202</w:t>
      </w:r>
      <w:r>
        <w:rPr>
          <w:rFonts w:hint="eastAsia" w:ascii="宋体" w:hAnsi="宋体" w:cs="宋体"/>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宋体" w:hAnsi="宋体" w:cs="宋体"/>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宋体" w:hAnsi="宋体" w:cs="宋体"/>
          <w:color w:val="auto"/>
          <w:sz w:val="32"/>
          <w:szCs w:val="32"/>
          <w:lang w:val="en-US" w:eastAsia="zh-CN"/>
        </w:rPr>
        <w:t>28</w:t>
      </w:r>
      <w:r>
        <w:rPr>
          <w:rFonts w:hint="eastAsia" w:ascii="宋体" w:hAnsi="宋体" w:eastAsia="宋体" w:cs="宋体"/>
          <w:color w:val="auto"/>
          <w:sz w:val="32"/>
          <w:szCs w:val="32"/>
          <w:lang w:val="en-US" w:eastAsia="zh-CN"/>
        </w:rPr>
        <w:t>日</w:t>
      </w:r>
      <w:r>
        <w:rPr>
          <w:rFonts w:hint="eastAsia" w:ascii="宋体" w:hAnsi="宋体" w:cs="宋体"/>
          <w:color w:val="auto"/>
          <w:sz w:val="32"/>
          <w:szCs w:val="32"/>
          <w:lang w:val="en-US" w:eastAsia="zh-CN"/>
        </w:rPr>
        <w:t xml:space="preserve">    </w:t>
      </w:r>
    </w:p>
    <w:p w14:paraId="2CF2D5D3">
      <w:pPr>
        <w:pStyle w:val="19"/>
        <w:rPr>
          <w:rFonts w:hint="default" w:ascii="仿宋_GB2312" w:hAnsi="仿宋_GB2312" w:eastAsia="仿宋_GB2312" w:cs="仿宋_GB2312"/>
          <w:b w:val="0"/>
          <w:bCs w:val="0"/>
          <w:i w:val="0"/>
          <w:caps w:val="0"/>
          <w:color w:val="000000"/>
          <w:spacing w:val="0"/>
          <w:sz w:val="32"/>
          <w:szCs w:val="32"/>
          <w:u w:val="none"/>
          <w:lang w:val="en-US" w:eastAsia="zh-CN"/>
        </w:rPr>
      </w:pPr>
      <w:r>
        <w:rPr>
          <w:rFonts w:hint="default" w:ascii="仿宋_GB2312" w:hAnsi="仿宋_GB2312" w:eastAsia="仿宋_GB2312" w:cs="仿宋_GB2312"/>
          <w:b w:val="0"/>
          <w:bCs w:val="0"/>
          <w:i w:val="0"/>
          <w:caps w:val="0"/>
          <w:color w:val="000000"/>
          <w:spacing w:val="0"/>
          <w:sz w:val="32"/>
          <w:szCs w:val="32"/>
          <w:u w:val="none"/>
          <w:lang w:val="en-US" w:eastAsia="zh-CN"/>
        </w:rPr>
        <w:t xml:space="preserve">      </w:t>
      </w:r>
    </w:p>
    <w:p w14:paraId="2825BA33">
      <w:pPr>
        <w:pStyle w:val="19"/>
        <w:rPr>
          <w:rFonts w:hint="default" w:ascii="仿宋_GB2312" w:hAnsi="仿宋_GB2312" w:eastAsia="仿宋_GB2312" w:cs="仿宋_GB2312"/>
          <w:b w:val="0"/>
          <w:bCs w:val="0"/>
          <w:i w:val="0"/>
          <w:caps w:val="0"/>
          <w:color w:val="000000"/>
          <w:spacing w:val="0"/>
          <w:sz w:val="32"/>
          <w:szCs w:val="32"/>
          <w:u w:val="none"/>
          <w:lang w:val="en-US" w:eastAsia="zh-CN"/>
        </w:rPr>
      </w:pPr>
      <w:bookmarkStart w:id="0" w:name="_GoBack"/>
      <w:bookmarkEnd w:id="0"/>
    </w:p>
    <w:sectPr>
      <w:footerReference r:id="rId3" w:type="default"/>
      <w:footerReference r:id="rId4" w:type="even"/>
      <w:pgSz w:w="11906" w:h="16838"/>
      <w:pgMar w:top="2098" w:right="1474" w:bottom="1984" w:left="1587" w:header="851" w:footer="1417"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Bliss Light">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10411">
    <w:pPr>
      <w:pStyle w:val="11"/>
      <w:tabs>
        <w:tab w:val="left" w:pos="1637"/>
        <w:tab w:val="clear" w:pos="4153"/>
      </w:tabs>
      <w:spacing w:line="520" w:lineRule="exact"/>
    </w:pPr>
    <w:r>
      <mc:AlternateContent>
        <mc:Choice Requires="wps">
          <w:drawing>
            <wp:anchor distT="0" distB="0" distL="114300" distR="114300" simplePos="0" relativeHeight="251659264" behindDoc="0" locked="0" layoutInCell="1" allowOverlap="1">
              <wp:simplePos x="0" y="0"/>
              <wp:positionH relativeFrom="margin">
                <wp:posOffset>4863465</wp:posOffset>
              </wp:positionH>
              <wp:positionV relativeFrom="paragraph">
                <wp:posOffset>-55245</wp:posOffset>
              </wp:positionV>
              <wp:extent cx="688975" cy="22288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688975" cy="222885"/>
                      </a:xfrm>
                      <a:prstGeom prst="rect">
                        <a:avLst/>
                      </a:prstGeom>
                      <a:noFill/>
                      <a:ln w="9525">
                        <a:noFill/>
                      </a:ln>
                      <a:effectLst/>
                    </wps:spPr>
                    <wps:txbx>
                      <w:txbxContent>
                        <w:p w14:paraId="1C3A8FCD">
                          <w:pPr>
                            <w:pStyle w:val="21"/>
                            <w:numPr>
                              <w:ilvl w:val="0"/>
                              <w:numId w:val="2"/>
                            </w:numPr>
                            <w:snapToGrid w:val="0"/>
                            <w:ind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lIns="0" tIns="0" rIns="0" bIns="0" upright="1"/>
                  </wps:wsp>
                </a:graphicData>
              </a:graphic>
            </wp:anchor>
          </w:drawing>
        </mc:Choice>
        <mc:Fallback>
          <w:pict>
            <v:shape id="文本框 1025" o:spid="_x0000_s1026" o:spt="202" type="#_x0000_t202" style="position:absolute;left:0pt;margin-left:382.95pt;margin-top:-4.35pt;height:17.55pt;width:54.25pt;mso-position-horizontal-relative:margin;z-index:251659264;mso-width-relative:page;mso-height-relative:page;" filled="f" stroked="f" coordsize="21600,21600" o:gfxdata="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j8c3tkAAAAJAQAADwAAAAAAAAABACAAAAAiAAAAZHJz&#10;L2Rvd25yZXYueG1sUEsBAhQAFAAAAAgAh07iQDuzA5vKAQAAiwMAAA4AAAAAAAAAAQAgAAAAKAEA&#10;AGRycy9lMm9Eb2MueG1sUEsFBgAAAAAGAAYAWQEAAGQFAAAAAA==&#10;">
              <v:fill on="f" focussize="0,0"/>
              <v:stroke on="f"/>
              <v:imagedata o:title=""/>
              <o:lock v:ext="edit" aspectratio="f"/>
              <v:textbox inset="0mm,0mm,0mm,0mm">
                <w:txbxContent>
                  <w:p w14:paraId="1C3A8FCD">
                    <w:pPr>
                      <w:pStyle w:val="21"/>
                      <w:numPr>
                        <w:ilvl w:val="0"/>
                        <w:numId w:val="2"/>
                      </w:numPr>
                      <w:snapToGrid w:val="0"/>
                      <w:ind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DB641">
    <w:pPr>
      <w:jc w:val="left"/>
    </w:pPr>
    <w:r>
      <mc:AlternateContent>
        <mc:Choice Requires="wps">
          <w:drawing>
            <wp:anchor distT="0" distB="0" distL="114300" distR="114300" simplePos="0" relativeHeight="251660288" behindDoc="0" locked="0" layoutInCell="1" allowOverlap="1">
              <wp:simplePos x="0" y="0"/>
              <wp:positionH relativeFrom="margin">
                <wp:posOffset>170815</wp:posOffset>
              </wp:positionH>
              <wp:positionV relativeFrom="paragraph">
                <wp:posOffset>-174625</wp:posOffset>
              </wp:positionV>
              <wp:extent cx="766445" cy="379730"/>
              <wp:effectExtent l="0" t="0" r="0" b="0"/>
              <wp:wrapNone/>
              <wp:docPr id="5" name="文本框 1026"/>
              <wp:cNvGraphicFramePr/>
              <a:graphic xmlns:a="http://schemas.openxmlformats.org/drawingml/2006/main">
                <a:graphicData uri="http://schemas.microsoft.com/office/word/2010/wordprocessingShape">
                  <wps:wsp>
                    <wps:cNvSpPr txBox="1"/>
                    <wps:spPr>
                      <a:xfrm>
                        <a:off x="0" y="0"/>
                        <a:ext cx="766445" cy="379730"/>
                      </a:xfrm>
                      <a:prstGeom prst="rect">
                        <a:avLst/>
                      </a:prstGeom>
                      <a:noFill/>
                      <a:ln w="9525">
                        <a:noFill/>
                      </a:ln>
                      <a:effectLst/>
                    </wps:spPr>
                    <wps:txbx>
                      <w:txbxContent>
                        <w:p w14:paraId="3C2C6A24">
                          <w:pPr>
                            <w:pStyle w:val="21"/>
                            <w:numPr>
                              <w:ilvl w:val="0"/>
                              <w:numId w:val="3"/>
                            </w:numPr>
                            <w:snapToGrid w:val="0"/>
                            <w:ind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lIns="0" tIns="0" rIns="0" bIns="0" upright="1"/>
                  </wps:wsp>
                </a:graphicData>
              </a:graphic>
            </wp:anchor>
          </w:drawing>
        </mc:Choice>
        <mc:Fallback>
          <w:pict>
            <v:shape id="文本框 1026" o:spid="_x0000_s1026" o:spt="202" type="#_x0000_t202" style="position:absolute;left:0pt;margin-left:13.45pt;margin-top:-13.75pt;height:29.9pt;width:60.35pt;mso-position-horizontal-relative:margin;z-index:251660288;mso-width-relative:page;mso-height-relative:page;" filled="f" stroked="f" coordsize="21600,21600" o:gfxdata="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&#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f/wD32QAAAAkBAAAPAAAAAAAAAAEAIAAAACIAAABk&#10;cnMvZG93bnJldi54bWxQSwECFAAUAAAACACHTuJAoItOY8wBAACLAwAADgAAAAAAAAABACAAAAAo&#10;AQAAZHJzL2Uyb0RvYy54bWxQSwUGAAAAAAYABgBZAQAAZgUAAAAA&#10;">
              <v:fill on="f" focussize="0,0"/>
              <v:stroke on="f"/>
              <v:imagedata o:title=""/>
              <o:lock v:ext="edit" aspectratio="f"/>
              <v:textbox inset="0mm,0mm,0mm,0mm">
                <w:txbxContent>
                  <w:p w14:paraId="3C2C6A24">
                    <w:pPr>
                      <w:pStyle w:val="21"/>
                      <w:numPr>
                        <w:ilvl w:val="0"/>
                        <w:numId w:val="3"/>
                      </w:numPr>
                      <w:snapToGrid w:val="0"/>
                      <w:ind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2A825D"/>
    <w:multiLevelType w:val="multilevel"/>
    <w:tmpl w:val="292A825D"/>
    <w:lvl w:ilvl="0" w:tentative="0">
      <w:start w:val="1"/>
      <w:numFmt w:val="chineseCounting"/>
      <w:pStyle w:val="5"/>
      <w:suff w:val="nothing"/>
      <w:lvlText w:val="%1、"/>
      <w:lvlJc w:val="left"/>
      <w:pPr>
        <w:tabs>
          <w:tab w:val="left" w:pos="0"/>
        </w:tabs>
        <w:ind w:left="0" w:firstLine="0"/>
      </w:pPr>
      <w:rPr>
        <w:rFonts w:hint="eastAsia" w:ascii="仿宋_GB2312" w:hAnsi="仿宋_GB2312" w:eastAsia="仿宋_GB2312" w:cs="仿宋_GB2312"/>
        <w:b/>
        <w:bCs/>
        <w:sz w:val="32"/>
        <w:szCs w:val="32"/>
      </w:rPr>
    </w:lvl>
    <w:lvl w:ilvl="1" w:tentative="0">
      <w:start w:val="1"/>
      <w:numFmt w:val="decimal"/>
      <w:isLgl/>
      <w:suff w:val="nothing"/>
      <w:lvlText w:val="%2、"/>
      <w:lvlJc w:val="left"/>
      <w:pPr>
        <w:tabs>
          <w:tab w:val="left" w:pos="0"/>
        </w:tabs>
        <w:ind w:left="0" w:firstLine="0"/>
      </w:pPr>
      <w:rPr>
        <w:rFonts w:hint="default" w:ascii="仿宋_GB2312" w:hAnsi="仿宋_GB2312" w:eastAsia="仿宋_GB2312" w:cs="仿宋_GB2312"/>
        <w:b/>
        <w:bCs/>
        <w:sz w:val="32"/>
        <w:szCs w:val="32"/>
      </w:rPr>
    </w:lvl>
    <w:lvl w:ilvl="2" w:tentative="0">
      <w:start w:val="1"/>
      <w:numFmt w:val="decimal"/>
      <w:isLgl/>
      <w:suff w:val="nothing"/>
      <w:lvlText w:val="%2.%3 "/>
      <w:lvlJc w:val="left"/>
      <w:pPr>
        <w:tabs>
          <w:tab w:val="left" w:pos="0"/>
        </w:tabs>
        <w:ind w:left="0" w:firstLine="400"/>
      </w:pPr>
      <w:rPr>
        <w:rFonts w:hint="default" w:ascii="仿宋_GB2312" w:hAnsi="仿宋_GB2312" w:eastAsia="仿宋_GB2312" w:cs="仿宋_GB2312"/>
        <w:b/>
        <w:bCs/>
        <w:sz w:val="32"/>
        <w:szCs w:val="32"/>
      </w:rPr>
    </w:lvl>
    <w:lvl w:ilvl="3" w:tentative="0">
      <w:start w:val="1"/>
      <w:numFmt w:val="decimal"/>
      <w:isLgl/>
      <w:suff w:val="nothing"/>
      <w:lvlText w:val="%2.%3.%4 "/>
      <w:lvlJc w:val="left"/>
      <w:pPr>
        <w:ind w:left="0" w:firstLine="402"/>
      </w:pPr>
      <w:rPr>
        <w:rFonts w:hint="default" w:ascii="仿宋_GB2312" w:hAnsi="仿宋_GB2312" w:eastAsia="仿宋_GB2312" w:cs="仿宋_GB2312"/>
        <w:b/>
        <w:bCs/>
        <w:sz w:val="32"/>
        <w:szCs w:val="32"/>
      </w:rPr>
    </w:lvl>
    <w:lvl w:ilvl="4" w:tentative="0">
      <w:start w:val="1"/>
      <w:numFmt w:val="decimal"/>
      <w:isLgl/>
      <w:suff w:val="nothing"/>
      <w:lvlText w:val="%2.%3.%4.%5 "/>
      <w:lvlJc w:val="left"/>
      <w:pPr>
        <w:tabs>
          <w:tab w:val="left" w:pos="0"/>
        </w:tabs>
        <w:ind w:left="0" w:firstLine="402"/>
      </w:pPr>
      <w:rPr>
        <w:rFonts w:hint="default" w:ascii="仿宋_GB2312" w:hAnsi="仿宋_GB2312" w:eastAsia="仿宋_GB2312" w:cs="仿宋_GB2312"/>
        <w:b/>
        <w:bCs/>
        <w:sz w:val="32"/>
        <w:szCs w:val="32"/>
      </w:rPr>
    </w:lvl>
    <w:lvl w:ilvl="5" w:tentative="0">
      <w:start w:val="1"/>
      <w:numFmt w:val="decimal"/>
      <w:isLgl/>
      <w:suff w:val="nothing"/>
      <w:lvlText w:val="%2.%3.%4.%5.%6 "/>
      <w:lvlJc w:val="left"/>
      <w:pPr>
        <w:ind w:left="0" w:firstLine="402"/>
      </w:pPr>
      <w:rPr>
        <w:rFonts w:hint="default" w:ascii="仿宋_GB2312" w:hAnsi="仿宋_GB2312" w:eastAsia="仿宋_GB2312" w:cs="仿宋_GB2312"/>
        <w:b/>
        <w:bCs/>
        <w:sz w:val="32"/>
        <w:szCs w:val="32"/>
      </w:rPr>
    </w:lvl>
    <w:lvl w:ilvl="6" w:tentative="0">
      <w:start w:val="1"/>
      <w:numFmt w:val="decimal"/>
      <w:isLgl/>
      <w:suff w:val="nothing"/>
      <w:lvlText w:val="%2.%3.%4.%5.%6.%7 "/>
      <w:lvlJc w:val="left"/>
      <w:pPr>
        <w:ind w:left="0" w:firstLine="402"/>
      </w:pPr>
      <w:rPr>
        <w:rFonts w:hint="default" w:ascii="仿宋_GB2312" w:hAnsi="仿宋_GB2312" w:eastAsia="仿宋_GB2312" w:cs="仿宋_GB2312"/>
        <w:b/>
        <w:bCs/>
        <w:sz w:val="32"/>
        <w:szCs w:val="32"/>
      </w:rPr>
    </w:lvl>
    <w:lvl w:ilvl="7" w:tentative="0">
      <w:start w:val="1"/>
      <w:numFmt w:val="decimal"/>
      <w:isLgl/>
      <w:suff w:val="nothing"/>
      <w:lvlText w:val="%2.%3.%4.%5.%6.%7.%8 "/>
      <w:lvlJc w:val="left"/>
      <w:pPr>
        <w:ind w:left="0" w:firstLine="402"/>
      </w:pPr>
      <w:rPr>
        <w:rFonts w:hint="default" w:ascii="仿宋_GB2312" w:hAnsi="仿宋_GB2312" w:eastAsia="仿宋_GB2312" w:cs="仿宋_GB2312"/>
        <w:b/>
        <w:bCs/>
        <w:sz w:val="32"/>
        <w:szCs w:val="32"/>
      </w:rPr>
    </w:lvl>
    <w:lvl w:ilvl="8" w:tentative="0">
      <w:start w:val="1"/>
      <w:numFmt w:val="decimal"/>
      <w:isLgl/>
      <w:suff w:val="nothing"/>
      <w:lvlText w:val="%2.%3.%4.%5.%6.%7.%8.%9 "/>
      <w:lvlJc w:val="left"/>
      <w:pPr>
        <w:ind w:left="0" w:firstLine="402"/>
      </w:pPr>
      <w:rPr>
        <w:rFonts w:hint="default" w:ascii="仿宋_GB2312" w:hAnsi="仿宋_GB2312" w:eastAsia="仿宋_GB2312" w:cs="仿宋_GB2312"/>
        <w:b/>
        <w:bCs/>
        <w:sz w:val="32"/>
        <w:szCs w:val="32"/>
      </w:rPr>
    </w:lvl>
  </w:abstractNum>
  <w:abstractNum w:abstractNumId="1">
    <w:nsid w:val="42450B60"/>
    <w:multiLevelType w:val="multilevel"/>
    <w:tmpl w:val="42450B60"/>
    <w:lvl w:ilvl="0" w:tentative="0">
      <w:start w:val="1068"/>
      <w:numFmt w:val="bullet"/>
      <w:lvlText w:val="—"/>
      <w:lvlJc w:val="left"/>
      <w:pPr>
        <w:ind w:left="360" w:hanging="360"/>
      </w:pPr>
      <w:rPr>
        <w:rFonts w:hint="eastAsia" w:ascii="宋体" w:hAnsi="宋体" w:eastAsia="宋体" w:cs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4C34240"/>
    <w:multiLevelType w:val="multilevel"/>
    <w:tmpl w:val="44C34240"/>
    <w:lvl w:ilvl="0" w:tentative="0">
      <w:start w:val="1068"/>
      <w:numFmt w:val="bullet"/>
      <w:lvlText w:val="—"/>
      <w:lvlJc w:val="left"/>
      <w:pPr>
        <w:ind w:left="360" w:hanging="360"/>
      </w:pPr>
      <w:rPr>
        <w:rFonts w:hint="eastAsia" w:ascii="宋体" w:hAnsi="宋体" w:eastAsia="宋体" w:cs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E7C7C"/>
    <w:rsid w:val="00006C88"/>
    <w:rsid w:val="000131B5"/>
    <w:rsid w:val="000275F5"/>
    <w:rsid w:val="0004233B"/>
    <w:rsid w:val="00042B4D"/>
    <w:rsid w:val="00056EA0"/>
    <w:rsid w:val="0006447C"/>
    <w:rsid w:val="00065897"/>
    <w:rsid w:val="000805EA"/>
    <w:rsid w:val="000814A4"/>
    <w:rsid w:val="000906E5"/>
    <w:rsid w:val="00091883"/>
    <w:rsid w:val="0009297A"/>
    <w:rsid w:val="00095DB5"/>
    <w:rsid w:val="00097448"/>
    <w:rsid w:val="00097695"/>
    <w:rsid w:val="000A7B0E"/>
    <w:rsid w:val="000B070B"/>
    <w:rsid w:val="000B16B1"/>
    <w:rsid w:val="000B40DB"/>
    <w:rsid w:val="000B40F6"/>
    <w:rsid w:val="000C3F90"/>
    <w:rsid w:val="000C4289"/>
    <w:rsid w:val="000D53CB"/>
    <w:rsid w:val="000E6AC4"/>
    <w:rsid w:val="000F27F6"/>
    <w:rsid w:val="00107724"/>
    <w:rsid w:val="001100BF"/>
    <w:rsid w:val="00121022"/>
    <w:rsid w:val="00124507"/>
    <w:rsid w:val="00130929"/>
    <w:rsid w:val="00136638"/>
    <w:rsid w:val="00151D4F"/>
    <w:rsid w:val="0015706C"/>
    <w:rsid w:val="00157F48"/>
    <w:rsid w:val="00162B9E"/>
    <w:rsid w:val="00163088"/>
    <w:rsid w:val="001656C0"/>
    <w:rsid w:val="00166E4D"/>
    <w:rsid w:val="00170C97"/>
    <w:rsid w:val="0017163C"/>
    <w:rsid w:val="00174649"/>
    <w:rsid w:val="00181281"/>
    <w:rsid w:val="00183A04"/>
    <w:rsid w:val="001923F0"/>
    <w:rsid w:val="001925C7"/>
    <w:rsid w:val="00192F66"/>
    <w:rsid w:val="00195506"/>
    <w:rsid w:val="001957D5"/>
    <w:rsid w:val="001A150D"/>
    <w:rsid w:val="001A2978"/>
    <w:rsid w:val="001B2E21"/>
    <w:rsid w:val="001B76DB"/>
    <w:rsid w:val="001C5F27"/>
    <w:rsid w:val="001D1247"/>
    <w:rsid w:val="001D4DDF"/>
    <w:rsid w:val="001D5AD4"/>
    <w:rsid w:val="001D5EEB"/>
    <w:rsid w:val="001F06D6"/>
    <w:rsid w:val="00205054"/>
    <w:rsid w:val="00205B8D"/>
    <w:rsid w:val="00210476"/>
    <w:rsid w:val="00211216"/>
    <w:rsid w:val="00214C12"/>
    <w:rsid w:val="002233B0"/>
    <w:rsid w:val="00224737"/>
    <w:rsid w:val="0022677E"/>
    <w:rsid w:val="00227870"/>
    <w:rsid w:val="00232049"/>
    <w:rsid w:val="00233412"/>
    <w:rsid w:val="002371E7"/>
    <w:rsid w:val="002439FC"/>
    <w:rsid w:val="00247EEF"/>
    <w:rsid w:val="00252DE3"/>
    <w:rsid w:val="00254507"/>
    <w:rsid w:val="00256125"/>
    <w:rsid w:val="00256BF5"/>
    <w:rsid w:val="00257148"/>
    <w:rsid w:val="00260275"/>
    <w:rsid w:val="00270BDB"/>
    <w:rsid w:val="00271012"/>
    <w:rsid w:val="002737F6"/>
    <w:rsid w:val="00276A5E"/>
    <w:rsid w:val="00290A1D"/>
    <w:rsid w:val="00296D7A"/>
    <w:rsid w:val="002A7B10"/>
    <w:rsid w:val="002B5E7C"/>
    <w:rsid w:val="002B7446"/>
    <w:rsid w:val="002B7603"/>
    <w:rsid w:val="002B7691"/>
    <w:rsid w:val="002C02FE"/>
    <w:rsid w:val="002C3D8C"/>
    <w:rsid w:val="002E0053"/>
    <w:rsid w:val="002E1569"/>
    <w:rsid w:val="002E6C25"/>
    <w:rsid w:val="002E6CE7"/>
    <w:rsid w:val="002E78A8"/>
    <w:rsid w:val="002F3AB9"/>
    <w:rsid w:val="002F4441"/>
    <w:rsid w:val="003007A0"/>
    <w:rsid w:val="00310508"/>
    <w:rsid w:val="00310A66"/>
    <w:rsid w:val="003117C0"/>
    <w:rsid w:val="003126FE"/>
    <w:rsid w:val="00321304"/>
    <w:rsid w:val="003227E6"/>
    <w:rsid w:val="00326A59"/>
    <w:rsid w:val="00333109"/>
    <w:rsid w:val="00334F46"/>
    <w:rsid w:val="00341256"/>
    <w:rsid w:val="00343041"/>
    <w:rsid w:val="00354334"/>
    <w:rsid w:val="00354DBB"/>
    <w:rsid w:val="003575EA"/>
    <w:rsid w:val="00367040"/>
    <w:rsid w:val="0036742A"/>
    <w:rsid w:val="00392382"/>
    <w:rsid w:val="00393154"/>
    <w:rsid w:val="00394B3F"/>
    <w:rsid w:val="003B595B"/>
    <w:rsid w:val="003C4A0B"/>
    <w:rsid w:val="003D2CEA"/>
    <w:rsid w:val="003E1216"/>
    <w:rsid w:val="003F1556"/>
    <w:rsid w:val="003F1F9A"/>
    <w:rsid w:val="003F2231"/>
    <w:rsid w:val="00404422"/>
    <w:rsid w:val="00414085"/>
    <w:rsid w:val="00421089"/>
    <w:rsid w:val="00423F1E"/>
    <w:rsid w:val="00430916"/>
    <w:rsid w:val="00443AC4"/>
    <w:rsid w:val="004444CE"/>
    <w:rsid w:val="004453B4"/>
    <w:rsid w:val="00450F3E"/>
    <w:rsid w:val="004563C4"/>
    <w:rsid w:val="004726A4"/>
    <w:rsid w:val="004770E5"/>
    <w:rsid w:val="004775C3"/>
    <w:rsid w:val="00477A8F"/>
    <w:rsid w:val="00482B5B"/>
    <w:rsid w:val="00482E45"/>
    <w:rsid w:val="00496BD8"/>
    <w:rsid w:val="004B6FCE"/>
    <w:rsid w:val="004C0ED0"/>
    <w:rsid w:val="004C21C4"/>
    <w:rsid w:val="004C3DB7"/>
    <w:rsid w:val="004D36E7"/>
    <w:rsid w:val="004E4D5D"/>
    <w:rsid w:val="004F5135"/>
    <w:rsid w:val="00502C3A"/>
    <w:rsid w:val="00504967"/>
    <w:rsid w:val="00514236"/>
    <w:rsid w:val="00531087"/>
    <w:rsid w:val="00537902"/>
    <w:rsid w:val="005500E4"/>
    <w:rsid w:val="00553ECD"/>
    <w:rsid w:val="00556C7C"/>
    <w:rsid w:val="00564CBE"/>
    <w:rsid w:val="005733CE"/>
    <w:rsid w:val="00575C9E"/>
    <w:rsid w:val="00584946"/>
    <w:rsid w:val="005925AE"/>
    <w:rsid w:val="005A7FD4"/>
    <w:rsid w:val="005B1CDC"/>
    <w:rsid w:val="005B3E11"/>
    <w:rsid w:val="005C235B"/>
    <w:rsid w:val="005D23F3"/>
    <w:rsid w:val="005D279C"/>
    <w:rsid w:val="005D5295"/>
    <w:rsid w:val="005E0E6E"/>
    <w:rsid w:val="005E5465"/>
    <w:rsid w:val="005E717D"/>
    <w:rsid w:val="005F0A15"/>
    <w:rsid w:val="005F243D"/>
    <w:rsid w:val="005F4C3F"/>
    <w:rsid w:val="006220E1"/>
    <w:rsid w:val="00631D7D"/>
    <w:rsid w:val="00631DB9"/>
    <w:rsid w:val="0065785E"/>
    <w:rsid w:val="00667353"/>
    <w:rsid w:val="00687F99"/>
    <w:rsid w:val="00694B74"/>
    <w:rsid w:val="00694E5F"/>
    <w:rsid w:val="006A02DA"/>
    <w:rsid w:val="006B290E"/>
    <w:rsid w:val="006B69C2"/>
    <w:rsid w:val="006B7AC6"/>
    <w:rsid w:val="006C67B8"/>
    <w:rsid w:val="006D06D7"/>
    <w:rsid w:val="006F2097"/>
    <w:rsid w:val="006F3C56"/>
    <w:rsid w:val="006F6B9F"/>
    <w:rsid w:val="00701210"/>
    <w:rsid w:val="00703E1B"/>
    <w:rsid w:val="007062BB"/>
    <w:rsid w:val="007210D8"/>
    <w:rsid w:val="007241C3"/>
    <w:rsid w:val="007260B7"/>
    <w:rsid w:val="00730C3F"/>
    <w:rsid w:val="00732974"/>
    <w:rsid w:val="00733333"/>
    <w:rsid w:val="0073714A"/>
    <w:rsid w:val="00742739"/>
    <w:rsid w:val="007433BC"/>
    <w:rsid w:val="007456A1"/>
    <w:rsid w:val="00746BBE"/>
    <w:rsid w:val="0074725E"/>
    <w:rsid w:val="00756E68"/>
    <w:rsid w:val="00763FBD"/>
    <w:rsid w:val="00766FE2"/>
    <w:rsid w:val="00774A19"/>
    <w:rsid w:val="0078100E"/>
    <w:rsid w:val="00783215"/>
    <w:rsid w:val="00783B41"/>
    <w:rsid w:val="007964FA"/>
    <w:rsid w:val="007A3A5A"/>
    <w:rsid w:val="007B4113"/>
    <w:rsid w:val="007B4FED"/>
    <w:rsid w:val="007B50AB"/>
    <w:rsid w:val="007C2B0C"/>
    <w:rsid w:val="007C3C49"/>
    <w:rsid w:val="007D15FA"/>
    <w:rsid w:val="007D6049"/>
    <w:rsid w:val="007E0673"/>
    <w:rsid w:val="007E2149"/>
    <w:rsid w:val="00812F4E"/>
    <w:rsid w:val="008177E3"/>
    <w:rsid w:val="00822CA0"/>
    <w:rsid w:val="00826C70"/>
    <w:rsid w:val="00831160"/>
    <w:rsid w:val="0083286E"/>
    <w:rsid w:val="00840CA7"/>
    <w:rsid w:val="008420C7"/>
    <w:rsid w:val="00842EC6"/>
    <w:rsid w:val="00850084"/>
    <w:rsid w:val="00854298"/>
    <w:rsid w:val="008623AD"/>
    <w:rsid w:val="00862A47"/>
    <w:rsid w:val="0086518C"/>
    <w:rsid w:val="008662AA"/>
    <w:rsid w:val="00875607"/>
    <w:rsid w:val="00877C11"/>
    <w:rsid w:val="00882194"/>
    <w:rsid w:val="00882FC0"/>
    <w:rsid w:val="00886F91"/>
    <w:rsid w:val="008B2BDE"/>
    <w:rsid w:val="008B6DF9"/>
    <w:rsid w:val="008D32EE"/>
    <w:rsid w:val="008D5A8E"/>
    <w:rsid w:val="008D5C5F"/>
    <w:rsid w:val="008E3108"/>
    <w:rsid w:val="008E3E82"/>
    <w:rsid w:val="008E5924"/>
    <w:rsid w:val="008F20B3"/>
    <w:rsid w:val="008F706C"/>
    <w:rsid w:val="00924651"/>
    <w:rsid w:val="00927D27"/>
    <w:rsid w:val="00931A0A"/>
    <w:rsid w:val="0094375D"/>
    <w:rsid w:val="009471E7"/>
    <w:rsid w:val="00955C98"/>
    <w:rsid w:val="00964CBB"/>
    <w:rsid w:val="00964FF5"/>
    <w:rsid w:val="00966913"/>
    <w:rsid w:val="00976139"/>
    <w:rsid w:val="00976B5B"/>
    <w:rsid w:val="0098308A"/>
    <w:rsid w:val="009B1A5E"/>
    <w:rsid w:val="009B4C9C"/>
    <w:rsid w:val="009B62D5"/>
    <w:rsid w:val="009B6B38"/>
    <w:rsid w:val="009C180B"/>
    <w:rsid w:val="009D1034"/>
    <w:rsid w:val="009E3441"/>
    <w:rsid w:val="009E7F55"/>
    <w:rsid w:val="009F626C"/>
    <w:rsid w:val="00A1342B"/>
    <w:rsid w:val="00A1473B"/>
    <w:rsid w:val="00A16B6F"/>
    <w:rsid w:val="00A24ECA"/>
    <w:rsid w:val="00A42741"/>
    <w:rsid w:val="00A47B69"/>
    <w:rsid w:val="00A618B1"/>
    <w:rsid w:val="00A661A1"/>
    <w:rsid w:val="00A715B5"/>
    <w:rsid w:val="00A72096"/>
    <w:rsid w:val="00A73879"/>
    <w:rsid w:val="00A74C8F"/>
    <w:rsid w:val="00A756B5"/>
    <w:rsid w:val="00AA0B13"/>
    <w:rsid w:val="00AA13E6"/>
    <w:rsid w:val="00AB2F39"/>
    <w:rsid w:val="00AB6F8A"/>
    <w:rsid w:val="00AC2026"/>
    <w:rsid w:val="00AE05F8"/>
    <w:rsid w:val="00AE3BA5"/>
    <w:rsid w:val="00AE3BDB"/>
    <w:rsid w:val="00B05572"/>
    <w:rsid w:val="00B0756A"/>
    <w:rsid w:val="00B127A5"/>
    <w:rsid w:val="00B204A7"/>
    <w:rsid w:val="00B23B8D"/>
    <w:rsid w:val="00B25C3A"/>
    <w:rsid w:val="00B260E1"/>
    <w:rsid w:val="00B27758"/>
    <w:rsid w:val="00B379B6"/>
    <w:rsid w:val="00B4241D"/>
    <w:rsid w:val="00B478EE"/>
    <w:rsid w:val="00B552EA"/>
    <w:rsid w:val="00B61E05"/>
    <w:rsid w:val="00B621D8"/>
    <w:rsid w:val="00B65FA9"/>
    <w:rsid w:val="00B6648E"/>
    <w:rsid w:val="00B67265"/>
    <w:rsid w:val="00B872FA"/>
    <w:rsid w:val="00B91321"/>
    <w:rsid w:val="00B92627"/>
    <w:rsid w:val="00B94ADF"/>
    <w:rsid w:val="00B96597"/>
    <w:rsid w:val="00BA3420"/>
    <w:rsid w:val="00BA5666"/>
    <w:rsid w:val="00BA6EE1"/>
    <w:rsid w:val="00BB1AD6"/>
    <w:rsid w:val="00BB242C"/>
    <w:rsid w:val="00BB2527"/>
    <w:rsid w:val="00BB25A8"/>
    <w:rsid w:val="00BB7469"/>
    <w:rsid w:val="00BC1C39"/>
    <w:rsid w:val="00BC3BEA"/>
    <w:rsid w:val="00BD60FB"/>
    <w:rsid w:val="00BD666A"/>
    <w:rsid w:val="00BF0F6E"/>
    <w:rsid w:val="00BF1EC6"/>
    <w:rsid w:val="00BF7253"/>
    <w:rsid w:val="00C05619"/>
    <w:rsid w:val="00C05B39"/>
    <w:rsid w:val="00C1486C"/>
    <w:rsid w:val="00C24BF7"/>
    <w:rsid w:val="00C3122C"/>
    <w:rsid w:val="00C36C18"/>
    <w:rsid w:val="00C403CB"/>
    <w:rsid w:val="00C47F11"/>
    <w:rsid w:val="00C63618"/>
    <w:rsid w:val="00C66EC2"/>
    <w:rsid w:val="00C87F91"/>
    <w:rsid w:val="00C94EF1"/>
    <w:rsid w:val="00CA59D1"/>
    <w:rsid w:val="00CA7271"/>
    <w:rsid w:val="00CA73AA"/>
    <w:rsid w:val="00CB766A"/>
    <w:rsid w:val="00CC1F83"/>
    <w:rsid w:val="00CC60BA"/>
    <w:rsid w:val="00CC7D88"/>
    <w:rsid w:val="00CD20F3"/>
    <w:rsid w:val="00CE42EF"/>
    <w:rsid w:val="00CE508E"/>
    <w:rsid w:val="00CF4A5D"/>
    <w:rsid w:val="00CF5B8F"/>
    <w:rsid w:val="00D00711"/>
    <w:rsid w:val="00D00829"/>
    <w:rsid w:val="00D0183E"/>
    <w:rsid w:val="00D047E0"/>
    <w:rsid w:val="00D110C4"/>
    <w:rsid w:val="00D1235F"/>
    <w:rsid w:val="00D125A5"/>
    <w:rsid w:val="00D15B80"/>
    <w:rsid w:val="00D347E6"/>
    <w:rsid w:val="00D40B44"/>
    <w:rsid w:val="00D47C8D"/>
    <w:rsid w:val="00D563D7"/>
    <w:rsid w:val="00D620D6"/>
    <w:rsid w:val="00D63528"/>
    <w:rsid w:val="00D674CD"/>
    <w:rsid w:val="00D74466"/>
    <w:rsid w:val="00D86C6B"/>
    <w:rsid w:val="00D96505"/>
    <w:rsid w:val="00DA173D"/>
    <w:rsid w:val="00DA6D9D"/>
    <w:rsid w:val="00DA71FE"/>
    <w:rsid w:val="00DB1C45"/>
    <w:rsid w:val="00DB5072"/>
    <w:rsid w:val="00DB5A78"/>
    <w:rsid w:val="00DC42E8"/>
    <w:rsid w:val="00DD0B57"/>
    <w:rsid w:val="00DD6192"/>
    <w:rsid w:val="00DF41EF"/>
    <w:rsid w:val="00E06B37"/>
    <w:rsid w:val="00E1783D"/>
    <w:rsid w:val="00E240A9"/>
    <w:rsid w:val="00E2750D"/>
    <w:rsid w:val="00E27F58"/>
    <w:rsid w:val="00E3494A"/>
    <w:rsid w:val="00E34CF0"/>
    <w:rsid w:val="00E379AE"/>
    <w:rsid w:val="00E46C55"/>
    <w:rsid w:val="00E53CD6"/>
    <w:rsid w:val="00E55BEA"/>
    <w:rsid w:val="00E7739E"/>
    <w:rsid w:val="00E82E57"/>
    <w:rsid w:val="00E91374"/>
    <w:rsid w:val="00E9297E"/>
    <w:rsid w:val="00E97677"/>
    <w:rsid w:val="00EA4F6B"/>
    <w:rsid w:val="00EB18C0"/>
    <w:rsid w:val="00EB360D"/>
    <w:rsid w:val="00EB440B"/>
    <w:rsid w:val="00EB7954"/>
    <w:rsid w:val="00EC1312"/>
    <w:rsid w:val="00EC16DD"/>
    <w:rsid w:val="00EC45EB"/>
    <w:rsid w:val="00EC67DE"/>
    <w:rsid w:val="00EC7887"/>
    <w:rsid w:val="00ED0443"/>
    <w:rsid w:val="00ED7979"/>
    <w:rsid w:val="00EE11BE"/>
    <w:rsid w:val="00EE5B75"/>
    <w:rsid w:val="00EE5B8A"/>
    <w:rsid w:val="00F11939"/>
    <w:rsid w:val="00F1576B"/>
    <w:rsid w:val="00F21F6E"/>
    <w:rsid w:val="00F30494"/>
    <w:rsid w:val="00F3286E"/>
    <w:rsid w:val="00F339E0"/>
    <w:rsid w:val="00F5072C"/>
    <w:rsid w:val="00F5528C"/>
    <w:rsid w:val="00F57A52"/>
    <w:rsid w:val="00F612D8"/>
    <w:rsid w:val="00F63316"/>
    <w:rsid w:val="00F6468E"/>
    <w:rsid w:val="00F6472C"/>
    <w:rsid w:val="00F8318A"/>
    <w:rsid w:val="00F929DC"/>
    <w:rsid w:val="00FA776B"/>
    <w:rsid w:val="00FB2E01"/>
    <w:rsid w:val="00FB40FF"/>
    <w:rsid w:val="00FB52F6"/>
    <w:rsid w:val="00FC1394"/>
    <w:rsid w:val="00FC3375"/>
    <w:rsid w:val="00FC4CA3"/>
    <w:rsid w:val="00FD31D2"/>
    <w:rsid w:val="00FE020C"/>
    <w:rsid w:val="00FE2300"/>
    <w:rsid w:val="00FF0780"/>
    <w:rsid w:val="00FF3B8A"/>
    <w:rsid w:val="00FF3CFE"/>
    <w:rsid w:val="00FF5A2B"/>
    <w:rsid w:val="010843B2"/>
    <w:rsid w:val="01125BE0"/>
    <w:rsid w:val="01D94E60"/>
    <w:rsid w:val="022E583C"/>
    <w:rsid w:val="023D137C"/>
    <w:rsid w:val="024B764E"/>
    <w:rsid w:val="026461B8"/>
    <w:rsid w:val="026B149D"/>
    <w:rsid w:val="02760BC9"/>
    <w:rsid w:val="02A640B9"/>
    <w:rsid w:val="02A9620A"/>
    <w:rsid w:val="02B03077"/>
    <w:rsid w:val="032B2521"/>
    <w:rsid w:val="03551DCE"/>
    <w:rsid w:val="035C28B3"/>
    <w:rsid w:val="03E11737"/>
    <w:rsid w:val="03F0297E"/>
    <w:rsid w:val="03F17CA2"/>
    <w:rsid w:val="03FE2CC4"/>
    <w:rsid w:val="040D128E"/>
    <w:rsid w:val="042E1803"/>
    <w:rsid w:val="045670F2"/>
    <w:rsid w:val="04B63C7E"/>
    <w:rsid w:val="04CA39CC"/>
    <w:rsid w:val="04F619D3"/>
    <w:rsid w:val="05586B71"/>
    <w:rsid w:val="05871BD8"/>
    <w:rsid w:val="058B13BF"/>
    <w:rsid w:val="05A43930"/>
    <w:rsid w:val="05C85C03"/>
    <w:rsid w:val="05DE5574"/>
    <w:rsid w:val="05EF6CB4"/>
    <w:rsid w:val="0619471D"/>
    <w:rsid w:val="06543B39"/>
    <w:rsid w:val="06622070"/>
    <w:rsid w:val="066222A2"/>
    <w:rsid w:val="067310B1"/>
    <w:rsid w:val="0673602E"/>
    <w:rsid w:val="06C72F0A"/>
    <w:rsid w:val="06EB06B0"/>
    <w:rsid w:val="06EC1FDC"/>
    <w:rsid w:val="06FA0264"/>
    <w:rsid w:val="06FB3734"/>
    <w:rsid w:val="072742CE"/>
    <w:rsid w:val="07306BF0"/>
    <w:rsid w:val="075F2D45"/>
    <w:rsid w:val="07711D86"/>
    <w:rsid w:val="07825524"/>
    <w:rsid w:val="07946F87"/>
    <w:rsid w:val="07A70532"/>
    <w:rsid w:val="07B15FF0"/>
    <w:rsid w:val="07DB7124"/>
    <w:rsid w:val="08143BED"/>
    <w:rsid w:val="08494645"/>
    <w:rsid w:val="08A614D4"/>
    <w:rsid w:val="08B13F1C"/>
    <w:rsid w:val="08C125DC"/>
    <w:rsid w:val="08C62B6E"/>
    <w:rsid w:val="092B40EB"/>
    <w:rsid w:val="093549C2"/>
    <w:rsid w:val="093F5F11"/>
    <w:rsid w:val="09546EAB"/>
    <w:rsid w:val="09620E42"/>
    <w:rsid w:val="09756FA5"/>
    <w:rsid w:val="09805E00"/>
    <w:rsid w:val="0982095D"/>
    <w:rsid w:val="09875F47"/>
    <w:rsid w:val="098A403C"/>
    <w:rsid w:val="09B11CCC"/>
    <w:rsid w:val="09B64647"/>
    <w:rsid w:val="09C40EB8"/>
    <w:rsid w:val="09C85628"/>
    <w:rsid w:val="09CA5B02"/>
    <w:rsid w:val="09D629B4"/>
    <w:rsid w:val="09EC5A07"/>
    <w:rsid w:val="0A0B244C"/>
    <w:rsid w:val="0A184FF6"/>
    <w:rsid w:val="0A474B14"/>
    <w:rsid w:val="0A6D3107"/>
    <w:rsid w:val="0A854E74"/>
    <w:rsid w:val="0AF457A8"/>
    <w:rsid w:val="0B0C0C44"/>
    <w:rsid w:val="0B2A4113"/>
    <w:rsid w:val="0B3C0938"/>
    <w:rsid w:val="0BAE3FD5"/>
    <w:rsid w:val="0BBC4DF6"/>
    <w:rsid w:val="0BEC6F67"/>
    <w:rsid w:val="0C0E3E68"/>
    <w:rsid w:val="0C2F4A7B"/>
    <w:rsid w:val="0C805CFC"/>
    <w:rsid w:val="0CD84529"/>
    <w:rsid w:val="0CF2378D"/>
    <w:rsid w:val="0D1E767A"/>
    <w:rsid w:val="0D2A538B"/>
    <w:rsid w:val="0D2E7B61"/>
    <w:rsid w:val="0D730930"/>
    <w:rsid w:val="0D7425D9"/>
    <w:rsid w:val="0D7F07DD"/>
    <w:rsid w:val="0DA8289C"/>
    <w:rsid w:val="0DB05B21"/>
    <w:rsid w:val="0DE45DB8"/>
    <w:rsid w:val="0E7A0D7D"/>
    <w:rsid w:val="0E817B1E"/>
    <w:rsid w:val="0E8270DF"/>
    <w:rsid w:val="0E8276EC"/>
    <w:rsid w:val="0EAF0C71"/>
    <w:rsid w:val="0EB17D50"/>
    <w:rsid w:val="0EC707A3"/>
    <w:rsid w:val="0EED3523"/>
    <w:rsid w:val="0F014BA7"/>
    <w:rsid w:val="0F240252"/>
    <w:rsid w:val="0F5C613B"/>
    <w:rsid w:val="0F6F49AE"/>
    <w:rsid w:val="0F77210D"/>
    <w:rsid w:val="0F926FF5"/>
    <w:rsid w:val="0F940EB4"/>
    <w:rsid w:val="0FD33F7D"/>
    <w:rsid w:val="10110EF6"/>
    <w:rsid w:val="105E557D"/>
    <w:rsid w:val="10743AC1"/>
    <w:rsid w:val="108805E6"/>
    <w:rsid w:val="10A30FF7"/>
    <w:rsid w:val="10F17CA3"/>
    <w:rsid w:val="11057CFA"/>
    <w:rsid w:val="1115089F"/>
    <w:rsid w:val="11204B30"/>
    <w:rsid w:val="117D75CC"/>
    <w:rsid w:val="11B66340"/>
    <w:rsid w:val="123F65E4"/>
    <w:rsid w:val="124A28FC"/>
    <w:rsid w:val="12932503"/>
    <w:rsid w:val="129A702D"/>
    <w:rsid w:val="12B005CC"/>
    <w:rsid w:val="12FD28C1"/>
    <w:rsid w:val="135103C7"/>
    <w:rsid w:val="13522CC5"/>
    <w:rsid w:val="137C3FC7"/>
    <w:rsid w:val="13822DDA"/>
    <w:rsid w:val="13A0263B"/>
    <w:rsid w:val="13AA1A48"/>
    <w:rsid w:val="13CD234A"/>
    <w:rsid w:val="13D15AB7"/>
    <w:rsid w:val="142D6EFD"/>
    <w:rsid w:val="14406EFD"/>
    <w:rsid w:val="144B212D"/>
    <w:rsid w:val="146816FF"/>
    <w:rsid w:val="147D11E9"/>
    <w:rsid w:val="14B44862"/>
    <w:rsid w:val="15241208"/>
    <w:rsid w:val="15AD2A39"/>
    <w:rsid w:val="15B77956"/>
    <w:rsid w:val="15FC0493"/>
    <w:rsid w:val="16046FCB"/>
    <w:rsid w:val="160F6F2E"/>
    <w:rsid w:val="1613641E"/>
    <w:rsid w:val="1628029D"/>
    <w:rsid w:val="163F03B7"/>
    <w:rsid w:val="16652790"/>
    <w:rsid w:val="166612CB"/>
    <w:rsid w:val="166A270A"/>
    <w:rsid w:val="166F70D5"/>
    <w:rsid w:val="16AE418F"/>
    <w:rsid w:val="16F00CB4"/>
    <w:rsid w:val="16F22F0D"/>
    <w:rsid w:val="16F245E8"/>
    <w:rsid w:val="16FB4E20"/>
    <w:rsid w:val="16FD233B"/>
    <w:rsid w:val="173C42AF"/>
    <w:rsid w:val="17767AF0"/>
    <w:rsid w:val="177768B5"/>
    <w:rsid w:val="17785AD1"/>
    <w:rsid w:val="17D05D95"/>
    <w:rsid w:val="17DE05BE"/>
    <w:rsid w:val="18282932"/>
    <w:rsid w:val="18303DAC"/>
    <w:rsid w:val="183F0EB7"/>
    <w:rsid w:val="18530F72"/>
    <w:rsid w:val="18576B68"/>
    <w:rsid w:val="188075AF"/>
    <w:rsid w:val="18925E06"/>
    <w:rsid w:val="18960B57"/>
    <w:rsid w:val="18B86D9F"/>
    <w:rsid w:val="18E26844"/>
    <w:rsid w:val="18ED0AE4"/>
    <w:rsid w:val="18F31052"/>
    <w:rsid w:val="18F755A9"/>
    <w:rsid w:val="1915292E"/>
    <w:rsid w:val="19285B9D"/>
    <w:rsid w:val="194C0E44"/>
    <w:rsid w:val="19732630"/>
    <w:rsid w:val="19851F03"/>
    <w:rsid w:val="19936F2C"/>
    <w:rsid w:val="199F0C44"/>
    <w:rsid w:val="1A286990"/>
    <w:rsid w:val="1A5842DE"/>
    <w:rsid w:val="1A6416C8"/>
    <w:rsid w:val="1A8D640B"/>
    <w:rsid w:val="1A975AAB"/>
    <w:rsid w:val="1AD060AF"/>
    <w:rsid w:val="1AE01E5A"/>
    <w:rsid w:val="1AEC0B16"/>
    <w:rsid w:val="1AF853FF"/>
    <w:rsid w:val="1B153586"/>
    <w:rsid w:val="1B4C37EA"/>
    <w:rsid w:val="1B535A54"/>
    <w:rsid w:val="1B6F2DD8"/>
    <w:rsid w:val="1B7C0E53"/>
    <w:rsid w:val="1B8330EE"/>
    <w:rsid w:val="1BAB76EF"/>
    <w:rsid w:val="1C034485"/>
    <w:rsid w:val="1C192433"/>
    <w:rsid w:val="1C1D1E50"/>
    <w:rsid w:val="1C207FBE"/>
    <w:rsid w:val="1C761CB8"/>
    <w:rsid w:val="1C847A9B"/>
    <w:rsid w:val="1C8B4940"/>
    <w:rsid w:val="1CCC4E15"/>
    <w:rsid w:val="1CE26AFA"/>
    <w:rsid w:val="1D2506B9"/>
    <w:rsid w:val="1D304843"/>
    <w:rsid w:val="1D5646E6"/>
    <w:rsid w:val="1D5C7887"/>
    <w:rsid w:val="1E5B71C6"/>
    <w:rsid w:val="1E7144B4"/>
    <w:rsid w:val="1EA662BE"/>
    <w:rsid w:val="1ECF67E4"/>
    <w:rsid w:val="1EF35AFB"/>
    <w:rsid w:val="1F03740B"/>
    <w:rsid w:val="1F2916F4"/>
    <w:rsid w:val="1F3244E8"/>
    <w:rsid w:val="1F343CCC"/>
    <w:rsid w:val="1F3F6253"/>
    <w:rsid w:val="1F464E71"/>
    <w:rsid w:val="1F805551"/>
    <w:rsid w:val="1FB57BC9"/>
    <w:rsid w:val="2005162A"/>
    <w:rsid w:val="202A2BD2"/>
    <w:rsid w:val="20317D6D"/>
    <w:rsid w:val="20875E5F"/>
    <w:rsid w:val="20DB608E"/>
    <w:rsid w:val="212D0540"/>
    <w:rsid w:val="21454FAA"/>
    <w:rsid w:val="215312C1"/>
    <w:rsid w:val="216F7284"/>
    <w:rsid w:val="218C0602"/>
    <w:rsid w:val="21AC5F37"/>
    <w:rsid w:val="21BB35AC"/>
    <w:rsid w:val="21BB7D59"/>
    <w:rsid w:val="21CC2C83"/>
    <w:rsid w:val="220231FA"/>
    <w:rsid w:val="222E0A00"/>
    <w:rsid w:val="2239754B"/>
    <w:rsid w:val="2249645B"/>
    <w:rsid w:val="22541F91"/>
    <w:rsid w:val="228D7FA2"/>
    <w:rsid w:val="228E4C19"/>
    <w:rsid w:val="22B074BB"/>
    <w:rsid w:val="22B933F1"/>
    <w:rsid w:val="22BD0459"/>
    <w:rsid w:val="23351269"/>
    <w:rsid w:val="23AE4798"/>
    <w:rsid w:val="23C335EC"/>
    <w:rsid w:val="23FA73C0"/>
    <w:rsid w:val="241E701D"/>
    <w:rsid w:val="24255879"/>
    <w:rsid w:val="245B3F3C"/>
    <w:rsid w:val="246E4307"/>
    <w:rsid w:val="247554AF"/>
    <w:rsid w:val="24F25C2B"/>
    <w:rsid w:val="255D186A"/>
    <w:rsid w:val="256750A1"/>
    <w:rsid w:val="25CE51AC"/>
    <w:rsid w:val="25D77D87"/>
    <w:rsid w:val="25DC3849"/>
    <w:rsid w:val="25EF28EF"/>
    <w:rsid w:val="26061A4A"/>
    <w:rsid w:val="262C11E0"/>
    <w:rsid w:val="266633C6"/>
    <w:rsid w:val="26997041"/>
    <w:rsid w:val="26A90897"/>
    <w:rsid w:val="26AC42EE"/>
    <w:rsid w:val="26F65B8A"/>
    <w:rsid w:val="27045381"/>
    <w:rsid w:val="270577E2"/>
    <w:rsid w:val="27307583"/>
    <w:rsid w:val="274C574E"/>
    <w:rsid w:val="276903FD"/>
    <w:rsid w:val="276A5229"/>
    <w:rsid w:val="279849E1"/>
    <w:rsid w:val="27A23470"/>
    <w:rsid w:val="27B85C13"/>
    <w:rsid w:val="27E0401D"/>
    <w:rsid w:val="28130E4A"/>
    <w:rsid w:val="282D058B"/>
    <w:rsid w:val="283779BB"/>
    <w:rsid w:val="285D02D6"/>
    <w:rsid w:val="287462CF"/>
    <w:rsid w:val="288F0D2D"/>
    <w:rsid w:val="28EE070E"/>
    <w:rsid w:val="294F3F23"/>
    <w:rsid w:val="29681F0C"/>
    <w:rsid w:val="29984D66"/>
    <w:rsid w:val="29A20ABD"/>
    <w:rsid w:val="29BB4CB3"/>
    <w:rsid w:val="29E402A7"/>
    <w:rsid w:val="29FE11E1"/>
    <w:rsid w:val="2A0B5A6B"/>
    <w:rsid w:val="2A9023B1"/>
    <w:rsid w:val="2AC61F81"/>
    <w:rsid w:val="2AD669F3"/>
    <w:rsid w:val="2B137119"/>
    <w:rsid w:val="2B3062F2"/>
    <w:rsid w:val="2BC14C40"/>
    <w:rsid w:val="2BC16195"/>
    <w:rsid w:val="2BD453C5"/>
    <w:rsid w:val="2C0243EF"/>
    <w:rsid w:val="2C0708F3"/>
    <w:rsid w:val="2C6D5779"/>
    <w:rsid w:val="2C8753F6"/>
    <w:rsid w:val="2C944D59"/>
    <w:rsid w:val="2C9521BC"/>
    <w:rsid w:val="2C9524C6"/>
    <w:rsid w:val="2C966198"/>
    <w:rsid w:val="2CA34698"/>
    <w:rsid w:val="2CB85857"/>
    <w:rsid w:val="2CBB6EC8"/>
    <w:rsid w:val="2D4D1CAB"/>
    <w:rsid w:val="2D7A0103"/>
    <w:rsid w:val="2DAA49A7"/>
    <w:rsid w:val="2DF23B7C"/>
    <w:rsid w:val="2E1815D8"/>
    <w:rsid w:val="2E6C20F9"/>
    <w:rsid w:val="2E7F647E"/>
    <w:rsid w:val="2EAF7D7A"/>
    <w:rsid w:val="2EC85623"/>
    <w:rsid w:val="2ED23AFA"/>
    <w:rsid w:val="2EE24C44"/>
    <w:rsid w:val="2F394B39"/>
    <w:rsid w:val="2F450420"/>
    <w:rsid w:val="2F4818AB"/>
    <w:rsid w:val="2F491D10"/>
    <w:rsid w:val="2F9D601C"/>
    <w:rsid w:val="2FB43003"/>
    <w:rsid w:val="2FC97EAB"/>
    <w:rsid w:val="2FD90804"/>
    <w:rsid w:val="30C84DB2"/>
    <w:rsid w:val="30D55101"/>
    <w:rsid w:val="310B358F"/>
    <w:rsid w:val="31B4141E"/>
    <w:rsid w:val="31C45A3A"/>
    <w:rsid w:val="31F70194"/>
    <w:rsid w:val="32540369"/>
    <w:rsid w:val="329C17FB"/>
    <w:rsid w:val="32C72441"/>
    <w:rsid w:val="32C975B6"/>
    <w:rsid w:val="32CB675B"/>
    <w:rsid w:val="32E626A0"/>
    <w:rsid w:val="32EF6E23"/>
    <w:rsid w:val="32F96E7E"/>
    <w:rsid w:val="33314C23"/>
    <w:rsid w:val="3381206F"/>
    <w:rsid w:val="33A077A7"/>
    <w:rsid w:val="33EE34FE"/>
    <w:rsid w:val="342212C3"/>
    <w:rsid w:val="34472562"/>
    <w:rsid w:val="345F6445"/>
    <w:rsid w:val="3462553A"/>
    <w:rsid w:val="346B2087"/>
    <w:rsid w:val="34915982"/>
    <w:rsid w:val="34A23C60"/>
    <w:rsid w:val="34AB2B4B"/>
    <w:rsid w:val="34B547CF"/>
    <w:rsid w:val="34BD693E"/>
    <w:rsid w:val="34EF1472"/>
    <w:rsid w:val="350A0945"/>
    <w:rsid w:val="35121BB6"/>
    <w:rsid w:val="353140F9"/>
    <w:rsid w:val="353D322B"/>
    <w:rsid w:val="356A59B8"/>
    <w:rsid w:val="358A16A4"/>
    <w:rsid w:val="35A74A0F"/>
    <w:rsid w:val="36587DFB"/>
    <w:rsid w:val="366C0C1C"/>
    <w:rsid w:val="36A25556"/>
    <w:rsid w:val="36B00EE3"/>
    <w:rsid w:val="36BF0028"/>
    <w:rsid w:val="36FB02C2"/>
    <w:rsid w:val="3709624D"/>
    <w:rsid w:val="370A5373"/>
    <w:rsid w:val="371571A0"/>
    <w:rsid w:val="373869FA"/>
    <w:rsid w:val="375109A0"/>
    <w:rsid w:val="3784314B"/>
    <w:rsid w:val="37BF4B5C"/>
    <w:rsid w:val="37CB6FB0"/>
    <w:rsid w:val="37DB71D3"/>
    <w:rsid w:val="38576576"/>
    <w:rsid w:val="3860245F"/>
    <w:rsid w:val="3884414D"/>
    <w:rsid w:val="388A1A51"/>
    <w:rsid w:val="38A41AA9"/>
    <w:rsid w:val="38C00C5F"/>
    <w:rsid w:val="38EE178F"/>
    <w:rsid w:val="38F82307"/>
    <w:rsid w:val="390309F9"/>
    <w:rsid w:val="39046850"/>
    <w:rsid w:val="393F6E83"/>
    <w:rsid w:val="39510D8D"/>
    <w:rsid w:val="395147D8"/>
    <w:rsid w:val="3978538A"/>
    <w:rsid w:val="39B34186"/>
    <w:rsid w:val="39D31A22"/>
    <w:rsid w:val="39D74243"/>
    <w:rsid w:val="39E37432"/>
    <w:rsid w:val="3A0E6B41"/>
    <w:rsid w:val="3A8C043D"/>
    <w:rsid w:val="3B231440"/>
    <w:rsid w:val="3B447644"/>
    <w:rsid w:val="3B4F0C36"/>
    <w:rsid w:val="3B782A91"/>
    <w:rsid w:val="3B9A719D"/>
    <w:rsid w:val="3BDD05EC"/>
    <w:rsid w:val="3BE33DE6"/>
    <w:rsid w:val="3C0E40F4"/>
    <w:rsid w:val="3C350DBB"/>
    <w:rsid w:val="3C4626B3"/>
    <w:rsid w:val="3C9A2608"/>
    <w:rsid w:val="3CA23B85"/>
    <w:rsid w:val="3CAC421D"/>
    <w:rsid w:val="3CB20D91"/>
    <w:rsid w:val="3CD9547C"/>
    <w:rsid w:val="3D237A62"/>
    <w:rsid w:val="3D297A27"/>
    <w:rsid w:val="3D3E037D"/>
    <w:rsid w:val="3D432FB7"/>
    <w:rsid w:val="3D5A3D4B"/>
    <w:rsid w:val="3D724CA8"/>
    <w:rsid w:val="3DA46E34"/>
    <w:rsid w:val="3DB859B1"/>
    <w:rsid w:val="3DBF32D3"/>
    <w:rsid w:val="3DC41422"/>
    <w:rsid w:val="3E1307BE"/>
    <w:rsid w:val="3E3A6A3D"/>
    <w:rsid w:val="3E760AAB"/>
    <w:rsid w:val="3E7D608C"/>
    <w:rsid w:val="3ECB1C11"/>
    <w:rsid w:val="3EF406C7"/>
    <w:rsid w:val="3F0B0AA3"/>
    <w:rsid w:val="3F146902"/>
    <w:rsid w:val="3F3C18A5"/>
    <w:rsid w:val="3F534FC4"/>
    <w:rsid w:val="3F60460A"/>
    <w:rsid w:val="3F6648C1"/>
    <w:rsid w:val="3F865CC1"/>
    <w:rsid w:val="3F9502E1"/>
    <w:rsid w:val="3F966F43"/>
    <w:rsid w:val="3FBD6526"/>
    <w:rsid w:val="3FC360ED"/>
    <w:rsid w:val="3FE96D44"/>
    <w:rsid w:val="3FFBB79F"/>
    <w:rsid w:val="40040E3B"/>
    <w:rsid w:val="4027108F"/>
    <w:rsid w:val="40431E46"/>
    <w:rsid w:val="40444387"/>
    <w:rsid w:val="404A3AF9"/>
    <w:rsid w:val="40BB0F8C"/>
    <w:rsid w:val="40E90D03"/>
    <w:rsid w:val="40EC4EEC"/>
    <w:rsid w:val="40EF7E6F"/>
    <w:rsid w:val="410A321E"/>
    <w:rsid w:val="410F31B4"/>
    <w:rsid w:val="411C61E6"/>
    <w:rsid w:val="41284BB3"/>
    <w:rsid w:val="41693C68"/>
    <w:rsid w:val="41975CC3"/>
    <w:rsid w:val="41B24A22"/>
    <w:rsid w:val="41DD7A26"/>
    <w:rsid w:val="41F4523B"/>
    <w:rsid w:val="41F83930"/>
    <w:rsid w:val="41FE7C7C"/>
    <w:rsid w:val="42290E40"/>
    <w:rsid w:val="42570B25"/>
    <w:rsid w:val="42754479"/>
    <w:rsid w:val="42B851D3"/>
    <w:rsid w:val="42C527D8"/>
    <w:rsid w:val="42FA0CE6"/>
    <w:rsid w:val="43192C18"/>
    <w:rsid w:val="432E5BCC"/>
    <w:rsid w:val="4338755C"/>
    <w:rsid w:val="43554092"/>
    <w:rsid w:val="4383236B"/>
    <w:rsid w:val="439C06E6"/>
    <w:rsid w:val="43A64548"/>
    <w:rsid w:val="43B606BD"/>
    <w:rsid w:val="43B72F34"/>
    <w:rsid w:val="443F63F7"/>
    <w:rsid w:val="444054A9"/>
    <w:rsid w:val="44495101"/>
    <w:rsid w:val="44600ED7"/>
    <w:rsid w:val="44683F95"/>
    <w:rsid w:val="446A1F74"/>
    <w:rsid w:val="448C0625"/>
    <w:rsid w:val="44A15AAC"/>
    <w:rsid w:val="44B80C78"/>
    <w:rsid w:val="44BE635C"/>
    <w:rsid w:val="44E43C44"/>
    <w:rsid w:val="44F6130D"/>
    <w:rsid w:val="457774F7"/>
    <w:rsid w:val="45845D82"/>
    <w:rsid w:val="4586162F"/>
    <w:rsid w:val="45AF3E3B"/>
    <w:rsid w:val="461428CC"/>
    <w:rsid w:val="468047EC"/>
    <w:rsid w:val="4688307D"/>
    <w:rsid w:val="46B67001"/>
    <w:rsid w:val="47016F0F"/>
    <w:rsid w:val="470E6A0F"/>
    <w:rsid w:val="471245A6"/>
    <w:rsid w:val="47133C3D"/>
    <w:rsid w:val="47145388"/>
    <w:rsid w:val="473B4442"/>
    <w:rsid w:val="47476E45"/>
    <w:rsid w:val="47921CFB"/>
    <w:rsid w:val="47C74607"/>
    <w:rsid w:val="47DD71EB"/>
    <w:rsid w:val="482B3C0E"/>
    <w:rsid w:val="48472397"/>
    <w:rsid w:val="488441D6"/>
    <w:rsid w:val="48BF16DB"/>
    <w:rsid w:val="48CA63D7"/>
    <w:rsid w:val="48F97591"/>
    <w:rsid w:val="493B44D4"/>
    <w:rsid w:val="494E5E7B"/>
    <w:rsid w:val="495645A4"/>
    <w:rsid w:val="49583274"/>
    <w:rsid w:val="495A205C"/>
    <w:rsid w:val="49677A24"/>
    <w:rsid w:val="497277EC"/>
    <w:rsid w:val="497651A4"/>
    <w:rsid w:val="497B7F5E"/>
    <w:rsid w:val="498970E4"/>
    <w:rsid w:val="499B34A0"/>
    <w:rsid w:val="49AF6456"/>
    <w:rsid w:val="49E13551"/>
    <w:rsid w:val="4A701F00"/>
    <w:rsid w:val="4A8F056F"/>
    <w:rsid w:val="4AEE293D"/>
    <w:rsid w:val="4B614856"/>
    <w:rsid w:val="4B836829"/>
    <w:rsid w:val="4BD57108"/>
    <w:rsid w:val="4BD75972"/>
    <w:rsid w:val="4BED56A6"/>
    <w:rsid w:val="4BF85CE9"/>
    <w:rsid w:val="4C006D30"/>
    <w:rsid w:val="4C0D750D"/>
    <w:rsid w:val="4C3E3FE7"/>
    <w:rsid w:val="4C5A4074"/>
    <w:rsid w:val="4C9C1E66"/>
    <w:rsid w:val="4C9D663C"/>
    <w:rsid w:val="4CC067FE"/>
    <w:rsid w:val="4CC941C4"/>
    <w:rsid w:val="4CE97B8B"/>
    <w:rsid w:val="4D1B4410"/>
    <w:rsid w:val="4D263694"/>
    <w:rsid w:val="4D271CDA"/>
    <w:rsid w:val="4D3E330C"/>
    <w:rsid w:val="4D605B3D"/>
    <w:rsid w:val="4E0355C2"/>
    <w:rsid w:val="4E69467E"/>
    <w:rsid w:val="4E781AFC"/>
    <w:rsid w:val="4E8550BF"/>
    <w:rsid w:val="4E8A598C"/>
    <w:rsid w:val="4E8D2AC6"/>
    <w:rsid w:val="4EC11454"/>
    <w:rsid w:val="4EE14C2B"/>
    <w:rsid w:val="4F227071"/>
    <w:rsid w:val="4F453031"/>
    <w:rsid w:val="4F93606F"/>
    <w:rsid w:val="4FA378CC"/>
    <w:rsid w:val="4FC11FCD"/>
    <w:rsid w:val="500D1160"/>
    <w:rsid w:val="5018792B"/>
    <w:rsid w:val="50201ABB"/>
    <w:rsid w:val="504239C2"/>
    <w:rsid w:val="50677193"/>
    <w:rsid w:val="50776B1D"/>
    <w:rsid w:val="509D548D"/>
    <w:rsid w:val="50DF1890"/>
    <w:rsid w:val="50EA0E4C"/>
    <w:rsid w:val="512640B4"/>
    <w:rsid w:val="515B79EF"/>
    <w:rsid w:val="5166665F"/>
    <w:rsid w:val="516C00DB"/>
    <w:rsid w:val="517D6934"/>
    <w:rsid w:val="519E5D24"/>
    <w:rsid w:val="51D75B75"/>
    <w:rsid w:val="52340199"/>
    <w:rsid w:val="5241634A"/>
    <w:rsid w:val="52695639"/>
    <w:rsid w:val="52747B4B"/>
    <w:rsid w:val="528A053E"/>
    <w:rsid w:val="52A245C8"/>
    <w:rsid w:val="52C2240C"/>
    <w:rsid w:val="52C731BF"/>
    <w:rsid w:val="52F67F55"/>
    <w:rsid w:val="53341671"/>
    <w:rsid w:val="535822A3"/>
    <w:rsid w:val="53625B98"/>
    <w:rsid w:val="538257BA"/>
    <w:rsid w:val="53B24681"/>
    <w:rsid w:val="53C01DF9"/>
    <w:rsid w:val="53CE3405"/>
    <w:rsid w:val="53EB33A4"/>
    <w:rsid w:val="540F40E9"/>
    <w:rsid w:val="54624565"/>
    <w:rsid w:val="550F242B"/>
    <w:rsid w:val="554D7015"/>
    <w:rsid w:val="555254DE"/>
    <w:rsid w:val="55693EA2"/>
    <w:rsid w:val="557A5AC1"/>
    <w:rsid w:val="558F0A76"/>
    <w:rsid w:val="55953273"/>
    <w:rsid w:val="55A22D86"/>
    <w:rsid w:val="55B11DE8"/>
    <w:rsid w:val="55CA001D"/>
    <w:rsid w:val="55CB1987"/>
    <w:rsid w:val="55D24D74"/>
    <w:rsid w:val="55E71604"/>
    <w:rsid w:val="55FF45B0"/>
    <w:rsid w:val="560D0C4D"/>
    <w:rsid w:val="5620147E"/>
    <w:rsid w:val="56205CEC"/>
    <w:rsid w:val="5633282B"/>
    <w:rsid w:val="56397878"/>
    <w:rsid w:val="563C0830"/>
    <w:rsid w:val="564F721E"/>
    <w:rsid w:val="56AB3C42"/>
    <w:rsid w:val="56EF47ED"/>
    <w:rsid w:val="572D20F8"/>
    <w:rsid w:val="5793072A"/>
    <w:rsid w:val="57A34841"/>
    <w:rsid w:val="57B40751"/>
    <w:rsid w:val="57EFA698"/>
    <w:rsid w:val="58060E8C"/>
    <w:rsid w:val="58541363"/>
    <w:rsid w:val="58662D30"/>
    <w:rsid w:val="5874608F"/>
    <w:rsid w:val="58862536"/>
    <w:rsid w:val="58BD0EA3"/>
    <w:rsid w:val="590E0A9E"/>
    <w:rsid w:val="592E440F"/>
    <w:rsid w:val="598C47FD"/>
    <w:rsid w:val="599B0975"/>
    <w:rsid w:val="59A234CD"/>
    <w:rsid w:val="59A327F0"/>
    <w:rsid w:val="59A76712"/>
    <w:rsid w:val="59BF34C6"/>
    <w:rsid w:val="5A6E0868"/>
    <w:rsid w:val="5A7D0EF4"/>
    <w:rsid w:val="5AB05669"/>
    <w:rsid w:val="5B3207A1"/>
    <w:rsid w:val="5B651530"/>
    <w:rsid w:val="5B74654F"/>
    <w:rsid w:val="5B7549ED"/>
    <w:rsid w:val="5B7937A4"/>
    <w:rsid w:val="5BAA5F89"/>
    <w:rsid w:val="5BE84EB5"/>
    <w:rsid w:val="5C2E01FD"/>
    <w:rsid w:val="5C55231B"/>
    <w:rsid w:val="5C6B3EDA"/>
    <w:rsid w:val="5C933F74"/>
    <w:rsid w:val="5CAD462C"/>
    <w:rsid w:val="5CEC4B38"/>
    <w:rsid w:val="5CFC1279"/>
    <w:rsid w:val="5D005269"/>
    <w:rsid w:val="5D787586"/>
    <w:rsid w:val="5D7A39D1"/>
    <w:rsid w:val="5DA5273D"/>
    <w:rsid w:val="5DB00430"/>
    <w:rsid w:val="5DF57FAF"/>
    <w:rsid w:val="5E175CCD"/>
    <w:rsid w:val="5E3E0D19"/>
    <w:rsid w:val="5E5203B7"/>
    <w:rsid w:val="5E782F0A"/>
    <w:rsid w:val="5E8071DF"/>
    <w:rsid w:val="5EB231D2"/>
    <w:rsid w:val="5ED73E12"/>
    <w:rsid w:val="5EED5CD4"/>
    <w:rsid w:val="5EFC6F7E"/>
    <w:rsid w:val="5F164ABC"/>
    <w:rsid w:val="5F264BB3"/>
    <w:rsid w:val="5F430DF7"/>
    <w:rsid w:val="5F727AC2"/>
    <w:rsid w:val="5F7F0EA4"/>
    <w:rsid w:val="5FBC0775"/>
    <w:rsid w:val="5FCF1326"/>
    <w:rsid w:val="601B0EED"/>
    <w:rsid w:val="608F54BB"/>
    <w:rsid w:val="609D3715"/>
    <w:rsid w:val="60DC5AA9"/>
    <w:rsid w:val="612C5F01"/>
    <w:rsid w:val="6165192A"/>
    <w:rsid w:val="61693DEE"/>
    <w:rsid w:val="616E0D37"/>
    <w:rsid w:val="617544DD"/>
    <w:rsid w:val="61AE0DD8"/>
    <w:rsid w:val="61DF1F2D"/>
    <w:rsid w:val="61E73339"/>
    <w:rsid w:val="62247A9E"/>
    <w:rsid w:val="6227305C"/>
    <w:rsid w:val="622745F5"/>
    <w:rsid w:val="62514A91"/>
    <w:rsid w:val="6267472C"/>
    <w:rsid w:val="62724F43"/>
    <w:rsid w:val="627B68C2"/>
    <w:rsid w:val="628F4C93"/>
    <w:rsid w:val="62A720E5"/>
    <w:rsid w:val="62B1208E"/>
    <w:rsid w:val="63217CF3"/>
    <w:rsid w:val="63275A55"/>
    <w:rsid w:val="634877EA"/>
    <w:rsid w:val="635566A4"/>
    <w:rsid w:val="63966889"/>
    <w:rsid w:val="63D6671C"/>
    <w:rsid w:val="64343AD7"/>
    <w:rsid w:val="64434A5C"/>
    <w:rsid w:val="645811A7"/>
    <w:rsid w:val="64684DE1"/>
    <w:rsid w:val="646F61E2"/>
    <w:rsid w:val="64920802"/>
    <w:rsid w:val="64E70E61"/>
    <w:rsid w:val="6504400C"/>
    <w:rsid w:val="65087418"/>
    <w:rsid w:val="656E0923"/>
    <w:rsid w:val="65967C3A"/>
    <w:rsid w:val="65CE6802"/>
    <w:rsid w:val="65D475BE"/>
    <w:rsid w:val="65DE672B"/>
    <w:rsid w:val="65EA7650"/>
    <w:rsid w:val="65FE3CD5"/>
    <w:rsid w:val="66AF2692"/>
    <w:rsid w:val="66C0769B"/>
    <w:rsid w:val="66EC4CCB"/>
    <w:rsid w:val="676049EA"/>
    <w:rsid w:val="67980B8D"/>
    <w:rsid w:val="67BF57BD"/>
    <w:rsid w:val="67EA4464"/>
    <w:rsid w:val="67EF40D3"/>
    <w:rsid w:val="67FB704B"/>
    <w:rsid w:val="684D6FF6"/>
    <w:rsid w:val="686A7A43"/>
    <w:rsid w:val="689E1587"/>
    <w:rsid w:val="68A916F6"/>
    <w:rsid w:val="68C861AE"/>
    <w:rsid w:val="68CF7ECD"/>
    <w:rsid w:val="690C62B9"/>
    <w:rsid w:val="6923699F"/>
    <w:rsid w:val="693565AC"/>
    <w:rsid w:val="69501F24"/>
    <w:rsid w:val="69706CF7"/>
    <w:rsid w:val="697F05C3"/>
    <w:rsid w:val="69823620"/>
    <w:rsid w:val="69A02035"/>
    <w:rsid w:val="69F8493C"/>
    <w:rsid w:val="69FA708F"/>
    <w:rsid w:val="6A0B552C"/>
    <w:rsid w:val="6A342324"/>
    <w:rsid w:val="6A6A230D"/>
    <w:rsid w:val="6A7B64E5"/>
    <w:rsid w:val="6A7B792E"/>
    <w:rsid w:val="6ABF00F9"/>
    <w:rsid w:val="6AE46945"/>
    <w:rsid w:val="6AFF8F68"/>
    <w:rsid w:val="6B2313B0"/>
    <w:rsid w:val="6B4B1768"/>
    <w:rsid w:val="6B5851D4"/>
    <w:rsid w:val="6B6862BF"/>
    <w:rsid w:val="6B6E2B11"/>
    <w:rsid w:val="6B787920"/>
    <w:rsid w:val="6B884BED"/>
    <w:rsid w:val="6BA4ECA2"/>
    <w:rsid w:val="6BAF1FB9"/>
    <w:rsid w:val="6BC638DE"/>
    <w:rsid w:val="6BE85DFC"/>
    <w:rsid w:val="6C2A171C"/>
    <w:rsid w:val="6C3655AF"/>
    <w:rsid w:val="6C41253C"/>
    <w:rsid w:val="6C4F4FAA"/>
    <w:rsid w:val="6C6919F9"/>
    <w:rsid w:val="6C7337E3"/>
    <w:rsid w:val="6CCB3CC5"/>
    <w:rsid w:val="6D104592"/>
    <w:rsid w:val="6D2667B3"/>
    <w:rsid w:val="6D2844E8"/>
    <w:rsid w:val="6D464BAB"/>
    <w:rsid w:val="6D583844"/>
    <w:rsid w:val="6D655D2A"/>
    <w:rsid w:val="6D83030A"/>
    <w:rsid w:val="6D84077C"/>
    <w:rsid w:val="6D8732BB"/>
    <w:rsid w:val="6D883118"/>
    <w:rsid w:val="6E052933"/>
    <w:rsid w:val="6E553386"/>
    <w:rsid w:val="6E9A5C50"/>
    <w:rsid w:val="6EB52138"/>
    <w:rsid w:val="6F3319F8"/>
    <w:rsid w:val="6F3356D8"/>
    <w:rsid w:val="6F471F8D"/>
    <w:rsid w:val="6F8233E7"/>
    <w:rsid w:val="700F0C16"/>
    <w:rsid w:val="703F126E"/>
    <w:rsid w:val="704712AD"/>
    <w:rsid w:val="707852C4"/>
    <w:rsid w:val="709A75DF"/>
    <w:rsid w:val="709D6C15"/>
    <w:rsid w:val="70B8591F"/>
    <w:rsid w:val="70DD1993"/>
    <w:rsid w:val="713F166C"/>
    <w:rsid w:val="714767A1"/>
    <w:rsid w:val="71CC4160"/>
    <w:rsid w:val="72235D4C"/>
    <w:rsid w:val="723C3B12"/>
    <w:rsid w:val="72524E25"/>
    <w:rsid w:val="72781B2D"/>
    <w:rsid w:val="72995643"/>
    <w:rsid w:val="729C6FD4"/>
    <w:rsid w:val="72B961B0"/>
    <w:rsid w:val="72C72548"/>
    <w:rsid w:val="72DB764F"/>
    <w:rsid w:val="7331234A"/>
    <w:rsid w:val="73593E02"/>
    <w:rsid w:val="735F7455"/>
    <w:rsid w:val="738B2691"/>
    <w:rsid w:val="739C08CF"/>
    <w:rsid w:val="73A12672"/>
    <w:rsid w:val="73BF4A6E"/>
    <w:rsid w:val="73CA6F30"/>
    <w:rsid w:val="73D66B16"/>
    <w:rsid w:val="7432017B"/>
    <w:rsid w:val="7456673A"/>
    <w:rsid w:val="7474549A"/>
    <w:rsid w:val="747B3F19"/>
    <w:rsid w:val="749B157A"/>
    <w:rsid w:val="74B34B5B"/>
    <w:rsid w:val="74B41BCF"/>
    <w:rsid w:val="750F0268"/>
    <w:rsid w:val="751D38AF"/>
    <w:rsid w:val="7529134A"/>
    <w:rsid w:val="75B41917"/>
    <w:rsid w:val="75C20156"/>
    <w:rsid w:val="75CD791A"/>
    <w:rsid w:val="75EA016B"/>
    <w:rsid w:val="76054DF9"/>
    <w:rsid w:val="760830B6"/>
    <w:rsid w:val="763A534C"/>
    <w:rsid w:val="76576126"/>
    <w:rsid w:val="766068E4"/>
    <w:rsid w:val="766E1139"/>
    <w:rsid w:val="76A744A4"/>
    <w:rsid w:val="76B37064"/>
    <w:rsid w:val="76C75329"/>
    <w:rsid w:val="76F20AAF"/>
    <w:rsid w:val="76F263CE"/>
    <w:rsid w:val="76FE53FD"/>
    <w:rsid w:val="76FE5A68"/>
    <w:rsid w:val="771A6ACD"/>
    <w:rsid w:val="77207C86"/>
    <w:rsid w:val="776064C0"/>
    <w:rsid w:val="77764E43"/>
    <w:rsid w:val="7791674D"/>
    <w:rsid w:val="77974EAC"/>
    <w:rsid w:val="77B57F7A"/>
    <w:rsid w:val="77DA3989"/>
    <w:rsid w:val="786C432C"/>
    <w:rsid w:val="789150A5"/>
    <w:rsid w:val="78EB606A"/>
    <w:rsid w:val="79150CE0"/>
    <w:rsid w:val="791C1E2B"/>
    <w:rsid w:val="791D6835"/>
    <w:rsid w:val="79453246"/>
    <w:rsid w:val="79514FF5"/>
    <w:rsid w:val="797A0B70"/>
    <w:rsid w:val="79DA1D0B"/>
    <w:rsid w:val="79E71E9B"/>
    <w:rsid w:val="79F37EE0"/>
    <w:rsid w:val="7A1D1699"/>
    <w:rsid w:val="7A2D317F"/>
    <w:rsid w:val="7A3B1024"/>
    <w:rsid w:val="7A465085"/>
    <w:rsid w:val="7A4A2706"/>
    <w:rsid w:val="7A4E5C52"/>
    <w:rsid w:val="7A66768C"/>
    <w:rsid w:val="7A802AD1"/>
    <w:rsid w:val="7A84187F"/>
    <w:rsid w:val="7A8E6754"/>
    <w:rsid w:val="7A9C1A13"/>
    <w:rsid w:val="7ABD7B53"/>
    <w:rsid w:val="7ADF5A86"/>
    <w:rsid w:val="7AE515E8"/>
    <w:rsid w:val="7AE63283"/>
    <w:rsid w:val="7AF339BA"/>
    <w:rsid w:val="7AF63963"/>
    <w:rsid w:val="7B1531FC"/>
    <w:rsid w:val="7B316F12"/>
    <w:rsid w:val="7B530FED"/>
    <w:rsid w:val="7B66E793"/>
    <w:rsid w:val="7B6C1D50"/>
    <w:rsid w:val="7B9514CB"/>
    <w:rsid w:val="7B9679C3"/>
    <w:rsid w:val="7BA57166"/>
    <w:rsid w:val="7BC245C3"/>
    <w:rsid w:val="7BE778F7"/>
    <w:rsid w:val="7C8C645C"/>
    <w:rsid w:val="7C9F686B"/>
    <w:rsid w:val="7CAE1197"/>
    <w:rsid w:val="7CAE5E58"/>
    <w:rsid w:val="7CC033FC"/>
    <w:rsid w:val="7CC3261F"/>
    <w:rsid w:val="7CE4001A"/>
    <w:rsid w:val="7D264E07"/>
    <w:rsid w:val="7D3C07F1"/>
    <w:rsid w:val="7D3E3E9F"/>
    <w:rsid w:val="7D563F03"/>
    <w:rsid w:val="7D7D58CB"/>
    <w:rsid w:val="7D8B7B17"/>
    <w:rsid w:val="7DD54602"/>
    <w:rsid w:val="7DE25247"/>
    <w:rsid w:val="7DF20AE0"/>
    <w:rsid w:val="7DFE1B33"/>
    <w:rsid w:val="7E139FD4"/>
    <w:rsid w:val="7E3566B3"/>
    <w:rsid w:val="7E422F99"/>
    <w:rsid w:val="7E565658"/>
    <w:rsid w:val="7E5777CE"/>
    <w:rsid w:val="7E773FE9"/>
    <w:rsid w:val="7EA73A52"/>
    <w:rsid w:val="7EEC0337"/>
    <w:rsid w:val="7F360CDC"/>
    <w:rsid w:val="7F3758D5"/>
    <w:rsid w:val="7F3D2255"/>
    <w:rsid w:val="7F3FC7B6"/>
    <w:rsid w:val="7F7C49CD"/>
    <w:rsid w:val="7F977A32"/>
    <w:rsid w:val="7FB33159"/>
    <w:rsid w:val="7FD618F2"/>
    <w:rsid w:val="7FF46AD5"/>
    <w:rsid w:val="7FF5647A"/>
    <w:rsid w:val="7FFC33E9"/>
    <w:rsid w:val="7FFF0125"/>
    <w:rsid w:val="8FFFD82C"/>
    <w:rsid w:val="BCDD12C0"/>
    <w:rsid w:val="D2BE31BD"/>
    <w:rsid w:val="DBFDEBBB"/>
    <w:rsid w:val="DF3E4EAB"/>
    <w:rsid w:val="DFD4ED1E"/>
    <w:rsid w:val="DFE6BB00"/>
    <w:rsid w:val="EEF70497"/>
    <w:rsid w:val="EF7BDC4F"/>
    <w:rsid w:val="F2FFF659"/>
    <w:rsid w:val="FBDFA256"/>
    <w:rsid w:val="FBF78F79"/>
    <w:rsid w:val="FDFF4C42"/>
    <w:rsid w:val="FEF2C3D2"/>
    <w:rsid w:val="FF375623"/>
    <w:rsid w:val="FFF7A3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0" w:beforeAutospacing="0" w:afterLines="0" w:afterAutospacing="0" w:line="560" w:lineRule="exact"/>
      <w:ind w:firstLine="960" w:firstLineChars="200"/>
      <w:outlineLvl w:val="0"/>
    </w:pPr>
    <w:rPr>
      <w:b/>
      <w:kern w:val="44"/>
      <w:sz w:val="32"/>
    </w:rPr>
  </w:style>
  <w:style w:type="paragraph" w:styleId="6">
    <w:name w:val="heading 3"/>
    <w:basedOn w:val="1"/>
    <w:next w:val="1"/>
    <w:unhideWhenUsed/>
    <w:qFormat/>
    <w:uiPriority w:val="0"/>
    <w:pPr>
      <w:spacing w:beforeAutospacing="1" w:afterAutospacing="1"/>
      <w:jc w:val="left"/>
      <w:outlineLvl w:val="2"/>
    </w:pPr>
    <w:rPr>
      <w:rFonts w:hint="eastAsia" w:ascii="宋体" w:hAnsi="宋体" w:cs="Times New Roman"/>
      <w:b/>
      <w:kern w:val="0"/>
      <w:sz w:val="27"/>
      <w:szCs w:val="27"/>
    </w:rPr>
  </w:style>
  <w:style w:type="paragraph" w:styleId="7">
    <w:name w:val="heading 4"/>
    <w:basedOn w:val="1"/>
    <w:next w:val="1"/>
    <w:unhideWhenUsed/>
    <w:qFormat/>
    <w:uiPriority w:val="0"/>
    <w:pPr>
      <w:spacing w:beforeAutospacing="1" w:afterAutospacing="1"/>
      <w:jc w:val="left"/>
      <w:outlineLvl w:val="3"/>
    </w:pPr>
    <w:rPr>
      <w:rFonts w:hint="eastAsia" w:ascii="宋体" w:hAnsi="宋体" w:cs="Times New Roman"/>
      <w:b/>
      <w:kern w:val="0"/>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rFonts w:cs="Times New Roman"/>
      <w:kern w:val="0"/>
    </w:rPr>
  </w:style>
  <w:style w:type="paragraph" w:styleId="3">
    <w:name w:val="Body Text"/>
    <w:basedOn w:val="1"/>
    <w:next w:val="4"/>
    <w:qFormat/>
    <w:uiPriority w:val="0"/>
    <w:pPr>
      <w:spacing w:before="0" w:after="140" w:line="276" w:lineRule="auto"/>
    </w:pPr>
  </w:style>
  <w:style w:type="paragraph" w:customStyle="1" w:styleId="4">
    <w:name w:val="样式 标题 1 + 两端对齐 段前: 17 磅 段后: 16.5 磅"/>
    <w:basedOn w:val="5"/>
    <w:next w:val="5"/>
    <w:qFormat/>
    <w:uiPriority w:val="0"/>
    <w:pPr>
      <w:spacing w:before="120" w:after="120"/>
    </w:pPr>
    <w:rPr>
      <w:rFonts w:cs="宋体"/>
    </w:rPr>
  </w:style>
  <w:style w:type="paragraph" w:styleId="8">
    <w:name w:val="Body Text Indent"/>
    <w:basedOn w:val="1"/>
    <w:next w:val="9"/>
    <w:qFormat/>
    <w:uiPriority w:val="0"/>
    <w:pPr>
      <w:spacing w:after="120"/>
      <w:ind w:left="420" w:leftChars="200"/>
    </w:pPr>
  </w:style>
  <w:style w:type="paragraph" w:styleId="9">
    <w:name w:val="envelope return"/>
    <w:basedOn w:val="1"/>
    <w:semiHidden/>
    <w:qFormat/>
    <w:uiPriority w:val="0"/>
    <w:pPr>
      <w:snapToGrid w:val="0"/>
    </w:pPr>
    <w:rPr>
      <w:rFonts w:ascii="Arial" w:hAnsi="Arial" w:cs="Arial"/>
    </w:rPr>
  </w:style>
  <w:style w:type="paragraph" w:styleId="10">
    <w:name w:val="Date"/>
    <w:basedOn w:val="1"/>
    <w:next w:val="1"/>
    <w:link w:val="20"/>
    <w:qFormat/>
    <w:uiPriority w:val="0"/>
    <w:pPr>
      <w:ind w:left="100" w:leftChars="25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Autospacing="1" w:afterAutospacing="1"/>
      <w:jc w:val="left"/>
    </w:pPr>
    <w:rPr>
      <w:rFonts w:hint="eastAsia" w:ascii="宋体" w:hAnsi="宋体" w:cs="Times New Roman"/>
      <w:kern w:val="0"/>
      <w:sz w:val="24"/>
    </w:rPr>
  </w:style>
  <w:style w:type="paragraph" w:styleId="14">
    <w:name w:val="Body Text First Indent 2"/>
    <w:basedOn w:val="8"/>
    <w:next w:val="1"/>
    <w:qFormat/>
    <w:uiPriority w:val="0"/>
    <w:pPr>
      <w:widowControl/>
      <w:autoSpaceDE w:val="0"/>
      <w:autoSpaceDN w:val="0"/>
      <w:adjustRightInd w:val="0"/>
      <w:spacing w:after="120" w:line="276" w:lineRule="auto"/>
      <w:ind w:left="200" w:leftChars="200" w:firstLine="420" w:firstLineChars="200"/>
      <w:jc w:val="left"/>
    </w:pPr>
    <w:rPr>
      <w:rFonts w:ascii="Arial" w:hAnsi="Arial" w:eastAsia="仿宋_GB2312" w:cs="Times New Roman"/>
      <w:kern w:val="2"/>
      <w:sz w:val="32"/>
      <w:szCs w:val="24"/>
      <w:lang w:val="en-US" w:eastAsia="zh-CN" w:bidi="ar-SA"/>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paragraph" w:customStyle="1" w:styleId="19">
    <w:name w:val="KM_Text"/>
    <w:qFormat/>
    <w:uiPriority w:val="0"/>
    <w:pPr>
      <w:spacing w:line="284" w:lineRule="exact"/>
    </w:pPr>
    <w:rPr>
      <w:rFonts w:ascii="Bliss Light" w:hAnsi="Bliss Light" w:eastAsia="宋体" w:cs="Times New Roman"/>
      <w:sz w:val="22"/>
      <w:szCs w:val="22"/>
      <w:lang w:val="de-DE" w:eastAsia="de-DE" w:bidi="ar-SA"/>
    </w:rPr>
  </w:style>
  <w:style w:type="character" w:customStyle="1" w:styleId="20">
    <w:name w:val="日期 Char"/>
    <w:basedOn w:val="17"/>
    <w:link w:val="10"/>
    <w:qFormat/>
    <w:uiPriority w:val="0"/>
    <w:rPr>
      <w:rFonts w:eastAsia="宋体"/>
      <w:kern w:val="2"/>
      <w:sz w:val="21"/>
      <w:szCs w:val="24"/>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79</Words>
  <Characters>455</Characters>
  <Lines>3</Lines>
  <Paragraphs>1</Paragraphs>
  <TotalTime>5</TotalTime>
  <ScaleCrop>false</ScaleCrop>
  <LinksUpToDate>false</LinksUpToDate>
  <CharactersWithSpaces>533</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2019-08-26T06:52:00Z</dcterms:created>
  <dc:creator>王加平</dc:creator>
  <cp:lastModifiedBy>hjy</cp:lastModifiedBy>
  <cp:lastPrinted>2026-03-01T02:15:00Z</cp:lastPrinted>
  <dcterms:modified xsi:type="dcterms:W3CDTF">2026-03-03T15:38:06Z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24D9AE8D951EE7A36980A6697542EDAE_43</vt:lpwstr>
  </property>
</Properties>
</file>